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E5089" w14:textId="77777777" w:rsidR="006E2CD8" w:rsidRPr="00BD212C" w:rsidRDefault="006E2CD8" w:rsidP="006E2CD8">
      <w:pPr>
        <w:rPr>
          <w:b/>
        </w:rPr>
      </w:pPr>
      <w:r w:rsidRPr="00BD212C">
        <w:rPr>
          <w:b/>
        </w:rPr>
        <w:t>Generalidades:</w:t>
      </w:r>
    </w:p>
    <w:p w14:paraId="6D52CF96" w14:textId="139901C6" w:rsidR="00182478" w:rsidRDefault="006E2CD8" w:rsidP="00DC34C4">
      <w:pPr>
        <w:numPr>
          <w:ilvl w:val="0"/>
          <w:numId w:val="4"/>
        </w:numPr>
        <w:pBdr>
          <w:top w:val="nil"/>
          <w:left w:val="nil"/>
          <w:bottom w:val="nil"/>
          <w:right w:val="nil"/>
          <w:between w:val="nil"/>
        </w:pBdr>
        <w:ind w:left="426" w:hanging="426"/>
        <w:rPr>
          <w:color w:val="000000"/>
        </w:rPr>
      </w:pPr>
      <w:r w:rsidRPr="00BD212C">
        <w:rPr>
          <w:color w:val="000000"/>
        </w:rPr>
        <w:t xml:space="preserve">Este formato tiene por finalidad dar cumplimiento dar a conocer a los oferentes las reglas generales mediante las cuales se rigen los procesos de selección de la entidad </w:t>
      </w:r>
      <w:r w:rsidR="00A06FBD">
        <w:rPr>
          <w:color w:val="000000"/>
        </w:rPr>
        <w:t xml:space="preserve">en sus diferentes </w:t>
      </w:r>
      <w:r w:rsidR="00A06FBD" w:rsidRPr="00BD212C">
        <w:rPr>
          <w:color w:val="000000"/>
        </w:rPr>
        <w:t>modalidades</w:t>
      </w:r>
      <w:r w:rsidR="00A06FBD">
        <w:rPr>
          <w:color w:val="000000"/>
        </w:rPr>
        <w:t xml:space="preserve"> de selección</w:t>
      </w:r>
      <w:r w:rsidRPr="00BD212C">
        <w:rPr>
          <w:color w:val="000000"/>
        </w:rPr>
        <w:t xml:space="preserve">. Este formato está diseñado para evitar repetir o </w:t>
      </w:r>
      <w:r w:rsidRPr="00BD212C">
        <w:t>transcribir</w:t>
      </w:r>
      <w:r w:rsidRPr="00BD212C">
        <w:rPr>
          <w:color w:val="000000"/>
        </w:rPr>
        <w:t xml:space="preserve"> la información contenida en el estudio previo.</w:t>
      </w:r>
    </w:p>
    <w:p w14:paraId="3610CAD3" w14:textId="2AB498B3" w:rsidR="00182478" w:rsidRPr="00C73DF5" w:rsidRDefault="00182478" w:rsidP="00DC34C4">
      <w:pPr>
        <w:numPr>
          <w:ilvl w:val="0"/>
          <w:numId w:val="4"/>
        </w:numPr>
        <w:pBdr>
          <w:top w:val="nil"/>
          <w:left w:val="nil"/>
          <w:bottom w:val="nil"/>
          <w:right w:val="nil"/>
          <w:between w:val="nil"/>
        </w:pBdr>
        <w:ind w:left="426" w:hanging="426"/>
        <w:rPr>
          <w:color w:val="000000"/>
        </w:rPr>
      </w:pPr>
      <w:r w:rsidRPr="00182478">
        <w:rPr>
          <w:color w:val="000000"/>
        </w:rPr>
        <w:t xml:space="preserve">El documento se diseñó como un documento independiente al Estudio previo. Por tal razón, en caso que sea necesario modificar </w:t>
      </w:r>
      <w:r w:rsidRPr="00C73DF5">
        <w:rPr>
          <w:color w:val="000000"/>
        </w:rPr>
        <w:t xml:space="preserve">información relativa al proceso de selección, </w:t>
      </w:r>
      <w:r w:rsidRPr="00C73DF5">
        <w:rPr>
          <w:b/>
          <w:color w:val="000000"/>
        </w:rPr>
        <w:t>se debe modificar el Estudio Previo</w:t>
      </w:r>
      <w:r w:rsidRPr="00C73DF5">
        <w:rPr>
          <w:color w:val="000000"/>
        </w:rPr>
        <w:t xml:space="preserve"> y no este documento.</w:t>
      </w:r>
    </w:p>
    <w:p w14:paraId="5875B6B9" w14:textId="6768902D" w:rsidR="006E2CD8" w:rsidRPr="00C73DF5" w:rsidRDefault="006E2CD8" w:rsidP="00DC34C4">
      <w:pPr>
        <w:numPr>
          <w:ilvl w:val="0"/>
          <w:numId w:val="4"/>
        </w:numPr>
        <w:pBdr>
          <w:top w:val="nil"/>
          <w:left w:val="nil"/>
          <w:bottom w:val="nil"/>
          <w:right w:val="nil"/>
          <w:between w:val="nil"/>
        </w:pBdr>
        <w:ind w:left="426" w:hanging="426"/>
        <w:rPr>
          <w:color w:val="000000"/>
        </w:rPr>
      </w:pPr>
      <w:r w:rsidRPr="00C73DF5">
        <w:rPr>
          <w:rFonts w:cs="Arial"/>
        </w:rPr>
        <w:t>El formato está asociado al Manual de Contratación (AGCMA.01) y al Manual Supervisión e Interventoría (AGCMA.02)</w:t>
      </w:r>
      <w:bookmarkStart w:id="0" w:name="_Hlk209630963"/>
      <w:r w:rsidRPr="00C73DF5">
        <w:rPr>
          <w:rFonts w:cs="Arial"/>
        </w:rPr>
        <w:t xml:space="preserve">, </w:t>
      </w:r>
      <w:bookmarkStart w:id="1" w:name="_Hlk209631633"/>
      <w:bookmarkStart w:id="2" w:name="_Hlk209632389"/>
      <w:r w:rsidRPr="00C73DF5">
        <w:rPr>
          <w:rFonts w:cs="Arial"/>
        </w:rPr>
        <w:t>así como a los procedimientos que rigen la gestión contractual de la entidad.</w:t>
      </w:r>
      <w:bookmarkEnd w:id="0"/>
      <w:bookmarkEnd w:id="1"/>
    </w:p>
    <w:bookmarkEnd w:id="2"/>
    <w:p w14:paraId="3CBDDA55" w14:textId="77777777" w:rsidR="00185858" w:rsidRPr="00185858" w:rsidRDefault="00185858" w:rsidP="00DC34C4">
      <w:pPr>
        <w:numPr>
          <w:ilvl w:val="0"/>
          <w:numId w:val="4"/>
        </w:numPr>
        <w:pBdr>
          <w:top w:val="nil"/>
          <w:left w:val="nil"/>
          <w:bottom w:val="nil"/>
          <w:right w:val="nil"/>
          <w:between w:val="nil"/>
        </w:pBdr>
        <w:ind w:left="426" w:hanging="426"/>
        <w:rPr>
          <w:color w:val="000000"/>
        </w:rPr>
      </w:pPr>
      <w:r w:rsidRPr="003A0BBE">
        <w:t>Este formato es diligenciado por el estructurador jurídico adscrito a la unidad de contratación</w:t>
      </w:r>
      <w:r>
        <w:t xml:space="preserve"> </w:t>
      </w:r>
      <w:r w:rsidRPr="003434CB">
        <w:t>designado por el Coordinador del GIT Contratos</w:t>
      </w:r>
    </w:p>
    <w:p w14:paraId="35C9346D" w14:textId="0700976D" w:rsidR="006E2CD8" w:rsidRPr="00C73DF5" w:rsidRDefault="006E2CD8" w:rsidP="00DC34C4">
      <w:pPr>
        <w:numPr>
          <w:ilvl w:val="0"/>
          <w:numId w:val="4"/>
        </w:numPr>
        <w:pBdr>
          <w:top w:val="nil"/>
          <w:left w:val="nil"/>
          <w:bottom w:val="nil"/>
          <w:right w:val="nil"/>
          <w:between w:val="nil"/>
        </w:pBdr>
        <w:ind w:left="426" w:hanging="426"/>
        <w:rPr>
          <w:color w:val="000000"/>
        </w:rPr>
      </w:pPr>
      <w:r w:rsidRPr="00C73DF5">
        <w:rPr>
          <w:b/>
          <w:color w:val="000000"/>
        </w:rPr>
        <w:t xml:space="preserve">Este formato no requiere ser impreso. </w:t>
      </w:r>
      <w:r w:rsidRPr="00C73DF5">
        <w:rPr>
          <w:color w:val="000000"/>
        </w:rPr>
        <w:t>Sin embargo, debe ser cargado en las plataformas administradas por Colombia Compra Eficiente.</w:t>
      </w:r>
      <w:bookmarkStart w:id="3" w:name="_Hlk209624726"/>
    </w:p>
    <w:p w14:paraId="02ED0F78" w14:textId="77777777" w:rsidR="006E2CD8" w:rsidRPr="00C73DF5" w:rsidRDefault="006E2CD8" w:rsidP="00DC34C4">
      <w:pPr>
        <w:numPr>
          <w:ilvl w:val="0"/>
          <w:numId w:val="4"/>
        </w:numPr>
        <w:pBdr>
          <w:top w:val="nil"/>
          <w:left w:val="nil"/>
          <w:bottom w:val="nil"/>
          <w:right w:val="nil"/>
          <w:between w:val="nil"/>
        </w:pBdr>
        <w:ind w:left="426" w:hanging="426"/>
        <w:rPr>
          <w:color w:val="000000"/>
        </w:rPr>
      </w:pPr>
      <w:r w:rsidRPr="00C73DF5">
        <w:rPr>
          <w:spacing w:val="2"/>
        </w:rPr>
        <w:t>Este formato, una vez diligenciado, deberá archivarse de conformidad con lo establecido en las tablas de retención documental de la entidad.</w:t>
      </w:r>
    </w:p>
    <w:bookmarkEnd w:id="3"/>
    <w:p w14:paraId="5B772836" w14:textId="77777777" w:rsidR="006E2CD8" w:rsidRPr="00C73DF5" w:rsidRDefault="006E2CD8" w:rsidP="00DC34C4">
      <w:pPr>
        <w:numPr>
          <w:ilvl w:val="0"/>
          <w:numId w:val="4"/>
        </w:numPr>
        <w:pBdr>
          <w:top w:val="nil"/>
          <w:left w:val="nil"/>
          <w:bottom w:val="nil"/>
          <w:right w:val="nil"/>
          <w:between w:val="nil"/>
        </w:pBdr>
        <w:ind w:left="426" w:hanging="426"/>
        <w:rPr>
          <w:color w:val="000000"/>
        </w:rPr>
      </w:pPr>
      <w:r w:rsidRPr="00C73DF5">
        <w:rPr>
          <w:color w:val="000000"/>
        </w:rPr>
        <w:t>El contenido que se encuentra en color diferente a negro, entre paréntesis o con el signo “[]” son orientaciones para el diligenciamiento del formato.</w:t>
      </w:r>
    </w:p>
    <w:p w14:paraId="054E939D" w14:textId="77777777" w:rsidR="006E2CD8" w:rsidRPr="00C73DF5" w:rsidRDefault="006E2CD8" w:rsidP="00DC34C4">
      <w:pPr>
        <w:numPr>
          <w:ilvl w:val="0"/>
          <w:numId w:val="4"/>
        </w:numPr>
        <w:pBdr>
          <w:top w:val="nil"/>
          <w:left w:val="nil"/>
          <w:bottom w:val="nil"/>
          <w:right w:val="nil"/>
          <w:between w:val="nil"/>
        </w:pBdr>
        <w:ind w:left="426" w:hanging="426"/>
        <w:rPr>
          <w:color w:val="000000"/>
        </w:rPr>
      </w:pPr>
      <w:r w:rsidRPr="00C73DF5">
        <w:rPr>
          <w:color w:val="000000"/>
        </w:rPr>
        <w:t>El formato puede ser modificado en aquellos apartados en que así se indique.</w:t>
      </w:r>
    </w:p>
    <w:p w14:paraId="713FB238" w14:textId="65EB1E1B" w:rsidR="006E2CD8" w:rsidRPr="00C73DF5" w:rsidRDefault="006E2CD8" w:rsidP="00DC34C4">
      <w:pPr>
        <w:numPr>
          <w:ilvl w:val="0"/>
          <w:numId w:val="4"/>
        </w:numPr>
        <w:pBdr>
          <w:top w:val="nil"/>
          <w:left w:val="nil"/>
          <w:bottom w:val="nil"/>
          <w:right w:val="nil"/>
          <w:between w:val="nil"/>
        </w:pBdr>
        <w:ind w:left="426" w:hanging="426"/>
        <w:rPr>
          <w:color w:val="000000"/>
        </w:rPr>
      </w:pPr>
      <w:r w:rsidRPr="00C73DF5">
        <w:rPr>
          <w:color w:val="000000"/>
        </w:rPr>
        <w:t>Este formato podrá ser complementado con las disposiciones necesarias que garanticen la adecuada estructuración del proceso. No obstante, se recomienda no incluir situaciones particulares sino generales</w:t>
      </w:r>
      <w:r w:rsidR="006A0EC2" w:rsidRPr="00C73DF5">
        <w:rPr>
          <w:color w:val="000000"/>
        </w:rPr>
        <w:t>.</w:t>
      </w:r>
    </w:p>
    <w:p w14:paraId="68ED4222" w14:textId="77777777" w:rsidR="006E2CD8" w:rsidRPr="00C73DF5" w:rsidRDefault="006E2CD8" w:rsidP="00DC34C4">
      <w:pPr>
        <w:numPr>
          <w:ilvl w:val="0"/>
          <w:numId w:val="4"/>
        </w:numPr>
        <w:pBdr>
          <w:top w:val="nil"/>
          <w:left w:val="nil"/>
          <w:bottom w:val="nil"/>
          <w:right w:val="nil"/>
          <w:between w:val="nil"/>
        </w:pBdr>
        <w:ind w:left="426" w:hanging="426"/>
        <w:rPr>
          <w:color w:val="000000"/>
        </w:rPr>
      </w:pPr>
      <w:r w:rsidRPr="00C73DF5">
        <w:rPr>
          <w:rFonts w:cs="Arial"/>
          <w:spacing w:val="2"/>
        </w:rPr>
        <w:t>Las notas internas son situaciones o recomendaciones que se deben tener en cuenta al momento de elaborar el formato. No obstante, las mismas deben ser eliminadas previa impresión o suscripción del mismo. De igual forma, se deben eliminar las generalidades.</w:t>
      </w:r>
    </w:p>
    <w:p w14:paraId="07EDCB52" w14:textId="3F5632F2" w:rsidR="006E2CD8" w:rsidRPr="00751000" w:rsidRDefault="006E2CD8" w:rsidP="00DC34C4">
      <w:pPr>
        <w:numPr>
          <w:ilvl w:val="0"/>
          <w:numId w:val="4"/>
        </w:numPr>
        <w:pBdr>
          <w:top w:val="nil"/>
          <w:left w:val="nil"/>
          <w:bottom w:val="nil"/>
          <w:right w:val="nil"/>
          <w:between w:val="nil"/>
        </w:pBdr>
        <w:ind w:left="426" w:hanging="426"/>
        <w:rPr>
          <w:color w:val="000000"/>
        </w:rPr>
      </w:pPr>
      <w:r w:rsidRPr="00C73DF5">
        <w:rPr>
          <w:rFonts w:cs="Arial"/>
          <w:spacing w:val="2"/>
        </w:rPr>
        <w:t>Todas las recomendaciones o sugerencias que busquen mejorar el presente documento pueden ser remitidas al correo del GIT de Contratos.</w:t>
      </w:r>
    </w:p>
    <w:p w14:paraId="10F5DA19" w14:textId="77777777" w:rsidR="00751000" w:rsidRDefault="00751000" w:rsidP="00751000">
      <w:pPr>
        <w:pBdr>
          <w:top w:val="nil"/>
          <w:left w:val="nil"/>
          <w:bottom w:val="nil"/>
          <w:right w:val="nil"/>
          <w:between w:val="nil"/>
        </w:pBdr>
        <w:rPr>
          <w:rFonts w:cs="Arial"/>
          <w:spacing w:val="2"/>
        </w:rPr>
      </w:pPr>
    </w:p>
    <w:p w14:paraId="5C4684FF" w14:textId="77777777" w:rsidR="00751000" w:rsidRDefault="00751000" w:rsidP="00751000">
      <w:pPr>
        <w:pBdr>
          <w:top w:val="nil"/>
          <w:left w:val="nil"/>
          <w:bottom w:val="nil"/>
          <w:right w:val="nil"/>
          <w:between w:val="nil"/>
        </w:pBdr>
        <w:rPr>
          <w:rFonts w:cs="Arial"/>
          <w:spacing w:val="2"/>
        </w:rPr>
      </w:pPr>
    </w:p>
    <w:p w14:paraId="01F5032A" w14:textId="4A079EA0" w:rsidR="00751000" w:rsidRPr="00936F7F" w:rsidRDefault="002F1522" w:rsidP="00751000">
      <w:pPr>
        <w:pBdr>
          <w:top w:val="nil"/>
          <w:left w:val="nil"/>
          <w:bottom w:val="nil"/>
          <w:right w:val="nil"/>
          <w:between w:val="nil"/>
        </w:pBdr>
        <w:jc w:val="left"/>
        <w:rPr>
          <w:rFonts w:cs="Arial"/>
          <w:color w:val="0070C0"/>
        </w:rPr>
      </w:pPr>
      <w:r w:rsidRPr="002F1522">
        <w:rPr>
          <w:rFonts w:cs="Arial"/>
          <w:b/>
          <w:bCs/>
          <w:i/>
          <w:iCs/>
          <w:color w:val="0070C0"/>
        </w:rPr>
        <w:t>NOTA.</w:t>
      </w:r>
      <w:r w:rsidR="00751000" w:rsidRPr="00936F7F">
        <w:rPr>
          <w:rFonts w:cs="Arial"/>
          <w:i/>
          <w:iCs/>
          <w:color w:val="0070C0"/>
        </w:rPr>
        <w:t xml:space="preserve"> Una vez diligenciado el documento por favor eliminar esta sección.</w:t>
      </w:r>
    </w:p>
    <w:p w14:paraId="13B781A3" w14:textId="77777777" w:rsidR="00751000" w:rsidRPr="00C73DF5" w:rsidRDefault="00751000" w:rsidP="00751000">
      <w:pPr>
        <w:pBdr>
          <w:top w:val="nil"/>
          <w:left w:val="nil"/>
          <w:bottom w:val="nil"/>
          <w:right w:val="nil"/>
          <w:between w:val="nil"/>
        </w:pBdr>
        <w:rPr>
          <w:color w:val="000000"/>
        </w:rPr>
      </w:pPr>
    </w:p>
    <w:p w14:paraId="672D543E" w14:textId="77777777" w:rsidR="006E2CD8" w:rsidRPr="00BD212C" w:rsidRDefault="006E2CD8" w:rsidP="006E2CD8"/>
    <w:p w14:paraId="5105CEF3" w14:textId="77777777" w:rsidR="006E2CD8" w:rsidRPr="00BD212C" w:rsidRDefault="006E2CD8" w:rsidP="006E2CD8"/>
    <w:p w14:paraId="5E5B342C" w14:textId="77777777" w:rsidR="00EF2B5D" w:rsidRPr="00751000" w:rsidRDefault="006E2CD8" w:rsidP="00EF2B5D">
      <w:pPr>
        <w:jc w:val="center"/>
        <w:rPr>
          <w:rFonts w:cs="Arial"/>
          <w:b/>
          <w:color w:val="C00000"/>
        </w:rPr>
      </w:pPr>
      <w:r w:rsidRPr="00BD212C">
        <w:br w:type="page"/>
      </w:r>
      <w:r w:rsidR="00EF2B5D">
        <w:rPr>
          <w:b/>
        </w:rPr>
        <w:lastRenderedPageBreak/>
        <w:t xml:space="preserve">ANEXO AL </w:t>
      </w:r>
      <w:r w:rsidR="00EF2B5D" w:rsidRPr="00E8495F">
        <w:rPr>
          <w:b/>
          <w:color w:val="C00000"/>
        </w:rPr>
        <w:t>[</w:t>
      </w:r>
      <w:r w:rsidR="00EF2B5D" w:rsidRPr="00751000">
        <w:rPr>
          <w:rFonts w:cs="Arial"/>
          <w:b/>
          <w:color w:val="C00000"/>
        </w:rPr>
        <w:t>PROYECTO DE PLIEGO DE CONDICIONES O PLIEGO DEFINITIVO, según corresponda]</w:t>
      </w:r>
    </w:p>
    <w:p w14:paraId="6BED7331" w14:textId="77777777" w:rsidR="00EF2B5D" w:rsidRPr="00751000" w:rsidRDefault="00EF2B5D" w:rsidP="00B52629">
      <w:pPr>
        <w:rPr>
          <w:rFonts w:cs="Arial"/>
          <w:b/>
          <w:color w:val="C00000"/>
        </w:rPr>
      </w:pPr>
    </w:p>
    <w:p w14:paraId="0F691EA2" w14:textId="77777777" w:rsidR="00EF2B5D" w:rsidRPr="00751000" w:rsidRDefault="00EF2B5D" w:rsidP="00EF2B5D">
      <w:pPr>
        <w:jc w:val="center"/>
        <w:rPr>
          <w:rFonts w:cs="Arial"/>
          <w:b/>
          <w:color w:val="C00000"/>
        </w:rPr>
      </w:pPr>
      <w:r w:rsidRPr="00751000">
        <w:rPr>
          <w:rFonts w:cs="Arial"/>
          <w:b/>
          <w:color w:val="C00000"/>
        </w:rPr>
        <w:t>[INCLUYA LA MODALIDAD DE SELECCIÓN]</w:t>
      </w:r>
    </w:p>
    <w:p w14:paraId="4EC8DBD5" w14:textId="77777777" w:rsidR="00EF2B5D" w:rsidRDefault="00EF2B5D" w:rsidP="00B52629">
      <w:pPr>
        <w:rPr>
          <w:color w:val="000000"/>
        </w:rPr>
      </w:pPr>
    </w:p>
    <w:p w14:paraId="0AA64FF3" w14:textId="77777777" w:rsidR="00EF2B5D" w:rsidRDefault="00EF2B5D" w:rsidP="00EF2B5D">
      <w:pPr>
        <w:jc w:val="center"/>
        <w:rPr>
          <w:b/>
          <w:color w:val="000000"/>
        </w:rPr>
      </w:pPr>
      <w:r>
        <w:rPr>
          <w:b/>
          <w:color w:val="000000"/>
        </w:rPr>
        <w:t>PROCESO NRO.</w:t>
      </w:r>
    </w:p>
    <w:p w14:paraId="2955E164" w14:textId="19A6E2FD" w:rsidR="00EF2B5D" w:rsidRPr="00751000" w:rsidRDefault="00EF2B5D" w:rsidP="00EF2B5D">
      <w:pPr>
        <w:jc w:val="center"/>
        <w:rPr>
          <w:rFonts w:cs="Arial"/>
          <w:color w:val="C00000"/>
        </w:rPr>
      </w:pPr>
      <w:r w:rsidRPr="00751000">
        <w:rPr>
          <w:rFonts w:cs="Arial"/>
          <w:color w:val="C00000"/>
        </w:rPr>
        <w:t>[Incluya el número</w:t>
      </w:r>
      <w:r w:rsidR="00D92CE5" w:rsidRPr="00751000">
        <w:rPr>
          <w:rFonts w:cs="Arial"/>
          <w:color w:val="C00000"/>
        </w:rPr>
        <w:t xml:space="preserve"> y año</w:t>
      </w:r>
      <w:r w:rsidRPr="00751000">
        <w:rPr>
          <w:rFonts w:cs="Arial"/>
          <w:color w:val="C00000"/>
        </w:rPr>
        <w:t xml:space="preserve"> el proceso según las circulares de la entidad]</w:t>
      </w:r>
    </w:p>
    <w:p w14:paraId="5EB47113" w14:textId="77777777" w:rsidR="00EF2B5D" w:rsidRDefault="00EF2B5D" w:rsidP="00EF2B5D"/>
    <w:p w14:paraId="4B62C523" w14:textId="77777777" w:rsidR="00EF2B5D" w:rsidRDefault="00EF2B5D" w:rsidP="00EF2B5D">
      <w:pPr>
        <w:jc w:val="center"/>
        <w:rPr>
          <w:b/>
        </w:rPr>
      </w:pPr>
      <w:r>
        <w:rPr>
          <w:b/>
        </w:rPr>
        <w:t>OBJETO</w:t>
      </w:r>
    </w:p>
    <w:p w14:paraId="2731A463" w14:textId="77777777" w:rsidR="00EF2B5D" w:rsidRPr="00751000" w:rsidRDefault="00EF2B5D" w:rsidP="00EF2B5D">
      <w:pPr>
        <w:jc w:val="center"/>
        <w:rPr>
          <w:rFonts w:cs="Arial"/>
          <w:color w:val="C00000"/>
        </w:rPr>
      </w:pPr>
      <w:r w:rsidRPr="00751000">
        <w:rPr>
          <w:rFonts w:cs="Arial"/>
          <w:color w:val="C00000"/>
        </w:rPr>
        <w:t>[Indicar objeto de la contratación requerida]</w:t>
      </w:r>
    </w:p>
    <w:p w14:paraId="367C272F" w14:textId="77777777" w:rsidR="00EF2B5D" w:rsidRDefault="00EF2B5D" w:rsidP="00EF2B5D"/>
    <w:p w14:paraId="53F7F8E9" w14:textId="77777777" w:rsidR="00EF2B5D" w:rsidRDefault="00EF2B5D" w:rsidP="00EF2B5D"/>
    <w:p w14:paraId="6B14DD61" w14:textId="77777777" w:rsidR="00EF2B5D" w:rsidRDefault="00EF2B5D" w:rsidP="00EF2B5D">
      <w:pPr>
        <w:rPr>
          <w:b/>
          <w:color w:val="00B050"/>
        </w:rPr>
      </w:pPr>
      <w:r>
        <w:br w:type="page"/>
      </w:r>
    </w:p>
    <w:p w14:paraId="1A7DD12B" w14:textId="77777777" w:rsidR="00EF2B5D" w:rsidRDefault="00EF2B5D" w:rsidP="00DC34C4">
      <w:pPr>
        <w:pStyle w:val="Ttulo1"/>
        <w:keepNext w:val="0"/>
        <w:numPr>
          <w:ilvl w:val="0"/>
          <w:numId w:val="12"/>
        </w:numPr>
        <w:jc w:val="center"/>
      </w:pPr>
      <w:r>
        <w:lastRenderedPageBreak/>
        <w:t>RECOMENDACIONES INICIALES</w:t>
      </w:r>
    </w:p>
    <w:p w14:paraId="67CE2D12" w14:textId="77777777" w:rsidR="00EF2B5D" w:rsidRDefault="00EF2B5D" w:rsidP="00EF2B5D"/>
    <w:p w14:paraId="6BA3EC32" w14:textId="339401B2" w:rsidR="00EF2B5D" w:rsidRDefault="00EF2B5D" w:rsidP="00DC34C4">
      <w:pPr>
        <w:numPr>
          <w:ilvl w:val="0"/>
          <w:numId w:val="9"/>
        </w:numPr>
        <w:pBdr>
          <w:top w:val="nil"/>
          <w:left w:val="nil"/>
          <w:bottom w:val="nil"/>
          <w:right w:val="nil"/>
          <w:between w:val="nil"/>
        </w:pBdr>
        <w:ind w:left="426" w:hanging="426"/>
        <w:rPr>
          <w:color w:val="000000"/>
        </w:rPr>
      </w:pPr>
      <w:r>
        <w:rPr>
          <w:color w:val="000000"/>
        </w:rPr>
        <w:t>Lea cuidadosamente el contenido de este documento</w:t>
      </w:r>
      <w:r w:rsidR="00935544">
        <w:rPr>
          <w:color w:val="000000"/>
        </w:rPr>
        <w:t>.</w:t>
      </w:r>
    </w:p>
    <w:p w14:paraId="0AA92025" w14:textId="77777777" w:rsidR="00EF2B5D" w:rsidRDefault="00EF2B5D" w:rsidP="00DC34C4">
      <w:pPr>
        <w:numPr>
          <w:ilvl w:val="0"/>
          <w:numId w:val="9"/>
        </w:numPr>
        <w:pBdr>
          <w:top w:val="nil"/>
          <w:left w:val="nil"/>
          <w:bottom w:val="nil"/>
          <w:right w:val="nil"/>
          <w:between w:val="nil"/>
        </w:pBdr>
        <w:ind w:left="426" w:hanging="426"/>
        <w:rPr>
          <w:color w:val="000000"/>
        </w:rPr>
      </w:pPr>
      <w:r>
        <w:rPr>
          <w:color w:val="000000"/>
        </w:rPr>
        <w:t>Verifique, antes que nada, que no esté incurso en ninguna de las inhabilidades e incompatibilidades generales ni especiales para contratar.</w:t>
      </w:r>
    </w:p>
    <w:p w14:paraId="1542E72A" w14:textId="77777777" w:rsidR="00EF2B5D" w:rsidRDefault="00EF2B5D" w:rsidP="00DC34C4">
      <w:pPr>
        <w:numPr>
          <w:ilvl w:val="0"/>
          <w:numId w:val="9"/>
        </w:numPr>
        <w:pBdr>
          <w:top w:val="nil"/>
          <w:left w:val="nil"/>
          <w:bottom w:val="nil"/>
          <w:right w:val="nil"/>
          <w:between w:val="nil"/>
        </w:pBdr>
        <w:ind w:left="426" w:hanging="426"/>
        <w:rPr>
          <w:color w:val="000000"/>
        </w:rPr>
      </w:pPr>
      <w:r>
        <w:rPr>
          <w:color w:val="000000"/>
        </w:rPr>
        <w:t>Cerciórese que cumple con las condiciones y reúne los requisitos aquí señalados.</w:t>
      </w:r>
    </w:p>
    <w:p w14:paraId="42AAE0D1" w14:textId="7CDAC48E" w:rsidR="00EF2B5D" w:rsidRDefault="00D92CE5" w:rsidP="00DC34C4">
      <w:pPr>
        <w:numPr>
          <w:ilvl w:val="0"/>
          <w:numId w:val="9"/>
        </w:numPr>
        <w:pBdr>
          <w:top w:val="nil"/>
          <w:left w:val="nil"/>
          <w:bottom w:val="nil"/>
          <w:right w:val="nil"/>
          <w:between w:val="nil"/>
        </w:pBdr>
        <w:ind w:left="426" w:hanging="426"/>
        <w:rPr>
          <w:color w:val="000000"/>
        </w:rPr>
      </w:pPr>
      <w:r>
        <w:rPr>
          <w:color w:val="000000"/>
        </w:rPr>
        <w:t>Reúna</w:t>
      </w:r>
      <w:r w:rsidR="00EF2B5D">
        <w:rPr>
          <w:color w:val="000000"/>
        </w:rPr>
        <w:t xml:space="preserve"> toda la información y documentación exigida y verifique la vigencia de aquella que la requiera.</w:t>
      </w:r>
    </w:p>
    <w:p w14:paraId="307F925C" w14:textId="77777777" w:rsidR="00EF2B5D" w:rsidRDefault="00EF2B5D" w:rsidP="00DC34C4">
      <w:pPr>
        <w:numPr>
          <w:ilvl w:val="0"/>
          <w:numId w:val="9"/>
        </w:numPr>
        <w:pBdr>
          <w:top w:val="nil"/>
          <w:left w:val="nil"/>
          <w:bottom w:val="nil"/>
          <w:right w:val="nil"/>
          <w:between w:val="nil"/>
        </w:pBdr>
        <w:ind w:left="426" w:hanging="426"/>
        <w:rPr>
          <w:color w:val="000000"/>
        </w:rPr>
      </w:pPr>
      <w:r>
        <w:rPr>
          <w:color w:val="000000"/>
        </w:rPr>
        <w:t>Siga las instrucciones que se imparten en el Estudio previo y/o Pliego de condiciones para la elaboración de su propuesta.</w:t>
      </w:r>
    </w:p>
    <w:p w14:paraId="291EA47F" w14:textId="77777777" w:rsidR="00EF2B5D" w:rsidRDefault="00EF2B5D" w:rsidP="00DC34C4">
      <w:pPr>
        <w:numPr>
          <w:ilvl w:val="0"/>
          <w:numId w:val="9"/>
        </w:numPr>
        <w:pBdr>
          <w:top w:val="nil"/>
          <w:left w:val="nil"/>
          <w:bottom w:val="nil"/>
          <w:right w:val="nil"/>
          <w:between w:val="nil"/>
        </w:pBdr>
        <w:ind w:left="426" w:hanging="426"/>
        <w:rPr>
          <w:color w:val="000000"/>
        </w:rPr>
      </w:pPr>
      <w:r>
        <w:rPr>
          <w:color w:val="000000"/>
        </w:rPr>
        <w:t>Diligencie todos los formatos publicados por la entidad, así como los anexos sugeridos.</w:t>
      </w:r>
    </w:p>
    <w:p w14:paraId="17996425" w14:textId="77777777" w:rsidR="00EF2B5D" w:rsidRDefault="00EF2B5D" w:rsidP="00DC34C4">
      <w:pPr>
        <w:numPr>
          <w:ilvl w:val="0"/>
          <w:numId w:val="9"/>
        </w:numPr>
        <w:pBdr>
          <w:top w:val="nil"/>
          <w:left w:val="nil"/>
          <w:bottom w:val="nil"/>
          <w:right w:val="nil"/>
          <w:between w:val="nil"/>
        </w:pBdr>
        <w:ind w:left="426" w:hanging="426"/>
        <w:rPr>
          <w:color w:val="000000"/>
        </w:rPr>
      </w:pPr>
      <w:r>
        <w:rPr>
          <w:color w:val="000000"/>
        </w:rPr>
        <w:t>Revise la garantía de seriedad de su oferta y verifique que:</w:t>
      </w:r>
    </w:p>
    <w:p w14:paraId="72A3A845" w14:textId="1F396888" w:rsidR="00EF2B5D" w:rsidRDefault="00EF2B5D" w:rsidP="00DC34C4">
      <w:pPr>
        <w:numPr>
          <w:ilvl w:val="0"/>
          <w:numId w:val="10"/>
        </w:numPr>
        <w:ind w:left="851" w:hanging="425"/>
      </w:pPr>
      <w:r>
        <w:t xml:space="preserve">Sea otorgada a favor del </w:t>
      </w:r>
      <w:r w:rsidRPr="00CC0A6E">
        <w:t xml:space="preserve">Unidad Administrativa Especial Migración Colombia </w:t>
      </w:r>
      <w:r>
        <w:t xml:space="preserve">– </w:t>
      </w:r>
      <w:r w:rsidR="00C065CD">
        <w:t>UAEMC</w:t>
      </w:r>
      <w:r>
        <w:t>, NIT.</w:t>
      </w:r>
      <w:r w:rsidRPr="00CC0A6E">
        <w:t xml:space="preserve"> 900</w:t>
      </w:r>
      <w:r w:rsidR="00C065CD">
        <w:t>.</w:t>
      </w:r>
      <w:r w:rsidRPr="00CC0A6E">
        <w:t>477</w:t>
      </w:r>
      <w:r w:rsidR="00C065CD">
        <w:t>.</w:t>
      </w:r>
      <w:r w:rsidRPr="00CC0A6E">
        <w:t>235-6</w:t>
      </w:r>
      <w:r>
        <w:t>.</w:t>
      </w:r>
    </w:p>
    <w:p w14:paraId="0B7B4E30" w14:textId="77777777" w:rsidR="00EF2B5D" w:rsidRDefault="00EF2B5D" w:rsidP="00DC34C4">
      <w:pPr>
        <w:numPr>
          <w:ilvl w:val="0"/>
          <w:numId w:val="10"/>
        </w:numPr>
        <w:ind w:left="851" w:hanging="425"/>
      </w:pPr>
      <w:r>
        <w:t>Como adquiriente figure su razón social completa y NIT.</w:t>
      </w:r>
    </w:p>
    <w:p w14:paraId="1473494D" w14:textId="77777777" w:rsidR="00EF2B5D" w:rsidRDefault="00EF2B5D" w:rsidP="00DC34C4">
      <w:pPr>
        <w:numPr>
          <w:ilvl w:val="0"/>
          <w:numId w:val="10"/>
        </w:numPr>
        <w:ind w:left="851" w:hanging="425"/>
      </w:pPr>
      <w:r>
        <w:t>El valor cubierto corresponda al fijado en el pliego de condiciones.</w:t>
      </w:r>
    </w:p>
    <w:p w14:paraId="25CFDBDA" w14:textId="77777777" w:rsidR="00EF2B5D" w:rsidRDefault="00EF2B5D" w:rsidP="00DC34C4">
      <w:pPr>
        <w:numPr>
          <w:ilvl w:val="0"/>
          <w:numId w:val="10"/>
        </w:numPr>
        <w:ind w:left="851" w:hanging="425"/>
      </w:pPr>
      <w:r>
        <w:t>El Objeto y el número del proceso, coincida con el de la oferta que presenta.</w:t>
      </w:r>
    </w:p>
    <w:p w14:paraId="3231FB9C" w14:textId="77777777" w:rsidR="00EF2B5D" w:rsidRDefault="00EF2B5D" w:rsidP="00DC34C4">
      <w:pPr>
        <w:numPr>
          <w:ilvl w:val="0"/>
          <w:numId w:val="10"/>
        </w:numPr>
        <w:ind w:left="851" w:hanging="425"/>
      </w:pPr>
      <w:r>
        <w:t>La vigencia de la garantía corresponda a la exigida en el pliego de condiciones.</w:t>
      </w:r>
    </w:p>
    <w:p w14:paraId="428E591A" w14:textId="77777777" w:rsidR="00EF2B5D" w:rsidRDefault="00EF2B5D" w:rsidP="00DC34C4">
      <w:pPr>
        <w:numPr>
          <w:ilvl w:val="0"/>
          <w:numId w:val="9"/>
        </w:numPr>
        <w:ind w:left="426" w:hanging="426"/>
      </w:pPr>
      <w:bookmarkStart w:id="4" w:name="_heading=h.4j5hv8pepyi0" w:colFirst="0" w:colLast="0"/>
      <w:bookmarkEnd w:id="4"/>
      <w:r>
        <w:t>Identifique su propuesta.</w:t>
      </w:r>
    </w:p>
    <w:p w14:paraId="69FD1495" w14:textId="2149DE93" w:rsidR="00EF2B5D" w:rsidRDefault="00EF2B5D" w:rsidP="00DC34C4">
      <w:pPr>
        <w:numPr>
          <w:ilvl w:val="0"/>
          <w:numId w:val="9"/>
        </w:numPr>
        <w:ind w:left="426" w:hanging="426"/>
      </w:pPr>
      <w:r>
        <w:t>Tenga presente la fecha y hora prevista para el cierre del proceso</w:t>
      </w:r>
      <w:r w:rsidR="00C065CD">
        <w:t xml:space="preserve">. </w:t>
      </w:r>
      <w:r w:rsidR="00C065CD">
        <w:rPr>
          <w:b/>
        </w:rPr>
        <w:t>No se recibirán propuestas fuera del tiempo previsto</w:t>
      </w:r>
      <w:r>
        <w:t>.</w:t>
      </w:r>
    </w:p>
    <w:p w14:paraId="2D0B85AD" w14:textId="5012E69E" w:rsidR="00EF2B5D" w:rsidRDefault="00EF2B5D" w:rsidP="00DC34C4">
      <w:pPr>
        <w:numPr>
          <w:ilvl w:val="0"/>
          <w:numId w:val="9"/>
        </w:numPr>
        <w:ind w:left="426" w:hanging="426"/>
      </w:pPr>
      <w:r>
        <w:t xml:space="preserve">Toda consulta o comunicación deberá formularse por escrito mediante la plataforma SECOP II. No se atenderán consultas personales, ni telefónicas, ni por correo electrónico (excepto por indisponibilidad de la plataforma). Ningún convenio verbal con personal de la </w:t>
      </w:r>
      <w:r w:rsidR="00C065CD">
        <w:t>UAEMC</w:t>
      </w:r>
      <w:r>
        <w:t>, antes o después de la firma del contrato, podrá afectar o modificar ninguno de los términos y obligaciones aquí estipuladas.</w:t>
      </w:r>
    </w:p>
    <w:p w14:paraId="2E1406C1" w14:textId="537C0F21" w:rsidR="00EF2B5D" w:rsidRDefault="00EF2B5D" w:rsidP="00DC34C4">
      <w:pPr>
        <w:numPr>
          <w:ilvl w:val="0"/>
          <w:numId w:val="9"/>
        </w:numPr>
        <w:ind w:left="426" w:hanging="426"/>
      </w:pPr>
      <w:r>
        <w:t xml:space="preserve">Los proponentes, con la presentación de su propuesta, autorizan a la </w:t>
      </w:r>
      <w:r w:rsidR="00C065CD">
        <w:t>UAEMC</w:t>
      </w:r>
      <w:r>
        <w:t xml:space="preserve"> para verificar toda la información que en ella suministren.</w:t>
      </w:r>
    </w:p>
    <w:p w14:paraId="5153E9D6" w14:textId="694E8A6D" w:rsidR="00EF2B5D" w:rsidRDefault="00EF2B5D" w:rsidP="00DC34C4">
      <w:pPr>
        <w:numPr>
          <w:ilvl w:val="0"/>
          <w:numId w:val="9"/>
        </w:numPr>
        <w:ind w:left="426" w:hanging="426"/>
      </w:pPr>
      <w:r>
        <w:t xml:space="preserve">Cuando se presente irregularidad en la oferta o en la información suministrada por el proponente o en la de uno de los miembros del Consorcio o de la Unión Temporal, la </w:t>
      </w:r>
      <w:r w:rsidR="00C065CD">
        <w:t>UAEMC</w:t>
      </w:r>
      <w:r>
        <w:t xml:space="preserve"> dará aviso a las autoridades competentes.</w:t>
      </w:r>
    </w:p>
    <w:p w14:paraId="1B3E9AC6" w14:textId="77777777" w:rsidR="00EF2B5D" w:rsidRDefault="00EF2B5D" w:rsidP="00DC34C4">
      <w:pPr>
        <w:numPr>
          <w:ilvl w:val="0"/>
          <w:numId w:val="9"/>
        </w:numPr>
        <w:ind w:left="426" w:hanging="426"/>
      </w:pPr>
      <w:r>
        <w:t>Tenga en cuenta la forma establecida por Colombia Compra Eficiente en caso de presentarse en forma de consorcio o unión temporal dentro la plataforma SECOP II.</w:t>
      </w:r>
    </w:p>
    <w:p w14:paraId="4BC46436" w14:textId="6C1E11C2" w:rsidR="00EF2B5D" w:rsidRDefault="00EF2B5D" w:rsidP="00DC34C4">
      <w:pPr>
        <w:numPr>
          <w:ilvl w:val="0"/>
          <w:numId w:val="9"/>
        </w:numPr>
        <w:ind w:left="426" w:hanging="426"/>
      </w:pPr>
      <w:r>
        <w:t xml:space="preserve">La presentación de la propuesta por el oferente constituye evidencia de que se estudiaron completamente las especificaciones, formatos y demás documentos; se recibieron aclaraciones necesarias a las inquietudes o dudas previamente consultadas y que ha aceptado que el Pliego de Condiciones es compatible y adecuado para identificar el alcance del servicio requerido por la </w:t>
      </w:r>
      <w:r w:rsidR="00C065CD">
        <w:t>UAEMC</w:t>
      </w:r>
      <w:r>
        <w:t xml:space="preserve"> y que ha tenido en cuenta todo lo anterior para definir las obligaciones que se adquieren en virtud del contrato que se celebrará.</w:t>
      </w:r>
    </w:p>
    <w:p w14:paraId="484553FE" w14:textId="77777777" w:rsidR="00EF2B5D" w:rsidRDefault="00EF2B5D" w:rsidP="00DC34C4">
      <w:pPr>
        <w:numPr>
          <w:ilvl w:val="0"/>
          <w:numId w:val="9"/>
        </w:numPr>
        <w:ind w:left="426" w:hanging="426"/>
      </w:pPr>
      <w:r>
        <w:lastRenderedPageBreak/>
        <w:t>Para la estructuración de su oferta, el proponente tuvo en cuenta las condiciones actuales de la economía y geo-política que son conocidas y previsibles, luego no podrán ser objeto de reclamación durante la ejecución del contrato en caso de resultar adjudicatario, al no tratarse de situaciones de fuerza mayor o caso fortuito que constituyan un eximente de responsabilidad.</w:t>
      </w:r>
    </w:p>
    <w:p w14:paraId="26B41217" w14:textId="77777777" w:rsidR="00EF2B5D" w:rsidRDefault="00EF2B5D" w:rsidP="00DC34C4">
      <w:pPr>
        <w:numPr>
          <w:ilvl w:val="0"/>
          <w:numId w:val="9"/>
        </w:numPr>
        <w:ind w:left="426" w:hanging="426"/>
      </w:pPr>
      <w:r>
        <w:t>Verifique, previo al cierre del presente proceso, que se encuentre al día en el pago de aportes parafiscales.</w:t>
      </w:r>
    </w:p>
    <w:p w14:paraId="6526B586" w14:textId="7D8BA4A5" w:rsidR="00EF2B5D" w:rsidRDefault="00EF2B5D" w:rsidP="00DC34C4">
      <w:pPr>
        <w:numPr>
          <w:ilvl w:val="0"/>
          <w:numId w:val="9"/>
        </w:numPr>
        <w:ind w:left="426" w:hanging="426"/>
      </w:pPr>
      <w:r>
        <w:t xml:space="preserve">La </w:t>
      </w:r>
      <w:r w:rsidR="00C065CD">
        <w:t>UAEMC</w:t>
      </w:r>
      <w:r>
        <w:t xml:space="preserve"> se reserva el derecho de verificar la información suministrada y solicitar las aclaraciones que considere pertinentes.</w:t>
      </w:r>
    </w:p>
    <w:p w14:paraId="53BEE91E" w14:textId="77777777" w:rsidR="00751000" w:rsidRDefault="00751000" w:rsidP="00751000"/>
    <w:p w14:paraId="66D74BCD" w14:textId="77777777" w:rsidR="00EF2B5D" w:rsidRDefault="00EF2B5D" w:rsidP="00EF2B5D"/>
    <w:p w14:paraId="6C83E22B" w14:textId="77777777" w:rsidR="00EF2B5D" w:rsidRDefault="00EF2B5D" w:rsidP="00EF2B5D">
      <w:bookmarkStart w:id="5" w:name="_heading=h.4t8y5lqer1fc" w:colFirst="0" w:colLast="0"/>
      <w:bookmarkEnd w:id="5"/>
      <w:r>
        <w:br w:type="page"/>
      </w:r>
    </w:p>
    <w:p w14:paraId="1A887EA3" w14:textId="77777777" w:rsidR="00EF2B5D" w:rsidRDefault="00EF2B5D" w:rsidP="00DC34C4">
      <w:pPr>
        <w:pStyle w:val="Ttulo1"/>
        <w:keepNext w:val="0"/>
        <w:numPr>
          <w:ilvl w:val="0"/>
          <w:numId w:val="12"/>
        </w:numPr>
        <w:jc w:val="center"/>
      </w:pPr>
      <w:r>
        <w:lastRenderedPageBreak/>
        <w:t>INTRODUCCIÓN</w:t>
      </w:r>
    </w:p>
    <w:p w14:paraId="016F062A" w14:textId="77777777" w:rsidR="00EF2B5D" w:rsidRDefault="00EF2B5D" w:rsidP="00EF2B5D">
      <w:pPr>
        <w:ind w:right="-30"/>
      </w:pPr>
    </w:p>
    <w:p w14:paraId="1B4C2FA9" w14:textId="1E27A4BA" w:rsidR="00EF2B5D" w:rsidRDefault="00EF2B5D" w:rsidP="00EF2B5D">
      <w:r>
        <w:t xml:space="preserve">La Unidad Administrativa Especial – </w:t>
      </w:r>
      <w:r w:rsidR="00C065CD">
        <w:t>UAEMC</w:t>
      </w:r>
      <w:r>
        <w:t xml:space="preserve"> pone a disposición de los interesados el </w:t>
      </w:r>
      <w:r w:rsidRPr="00E8495F">
        <w:rPr>
          <w:color w:val="C00000"/>
        </w:rPr>
        <w:t>[</w:t>
      </w:r>
      <w:r w:rsidRPr="00751000">
        <w:rPr>
          <w:rFonts w:cs="Arial"/>
          <w:color w:val="C00000"/>
        </w:rPr>
        <w:t xml:space="preserve">Proyecto Pliego de Condiciones o Pliego de condiciones, según corresponda] </w:t>
      </w:r>
      <w:r>
        <w:rPr>
          <w:color w:val="000000"/>
        </w:rPr>
        <w:t xml:space="preserve">nro. </w:t>
      </w:r>
      <w:r w:rsidRPr="00E8495F">
        <w:rPr>
          <w:color w:val="C00000"/>
        </w:rPr>
        <w:t>[</w:t>
      </w:r>
      <w:r w:rsidRPr="00751000">
        <w:rPr>
          <w:rFonts w:cs="Arial"/>
          <w:color w:val="C00000"/>
        </w:rPr>
        <w:t>Incluya el número el proceso</w:t>
      </w:r>
      <w:r w:rsidR="00E74892" w:rsidRPr="00751000">
        <w:rPr>
          <w:rFonts w:cs="Arial"/>
          <w:color w:val="C00000"/>
        </w:rPr>
        <w:t xml:space="preserve"> y el año</w:t>
      </w:r>
      <w:r w:rsidRPr="00751000">
        <w:rPr>
          <w:rFonts w:cs="Arial"/>
          <w:color w:val="C00000"/>
        </w:rPr>
        <w:t>]</w:t>
      </w:r>
      <w:r>
        <w:t xml:space="preserve"> para el conocimiento del contratista.</w:t>
      </w:r>
    </w:p>
    <w:p w14:paraId="54CD14ED" w14:textId="77777777" w:rsidR="00EF2B5D" w:rsidRDefault="00EF2B5D" w:rsidP="00EF2B5D">
      <w:pPr>
        <w:ind w:right="60"/>
      </w:pPr>
    </w:p>
    <w:p w14:paraId="5AA8A5B8" w14:textId="77777777" w:rsidR="00EF2B5D" w:rsidRDefault="00EF2B5D" w:rsidP="00EF2B5D">
      <w:r>
        <w:rPr>
          <w:b/>
          <w:u w:val="single"/>
        </w:rPr>
        <w:t>TENGA EN CUENTA QUE EL PRESENTE DOCUMENTO ES ANEXO AL PLIEGO DE CONDICIONES ELECTRÓNICO QUE SE ENCUENTRA EN SECOP II. ESTE PLIEGO ESTÁ CONFORMADO POR TODOS Y CADA UNO DE LOS DOCUMENTOS QUE SE ANEXAN A TRAVÉS DE DICHA PLATAFORMA.</w:t>
      </w:r>
    </w:p>
    <w:p w14:paraId="12EA6F4B" w14:textId="77777777" w:rsidR="00EF2B5D" w:rsidRDefault="00EF2B5D" w:rsidP="00EF2B5D"/>
    <w:p w14:paraId="46BC55DB" w14:textId="77777777" w:rsidR="00EF2B5D" w:rsidRDefault="00EF2B5D" w:rsidP="00EF2B5D">
      <w:r>
        <w:t>Los Estudios y documentos previos que incluyen el análisis del sector, el Proyecto de Pliego de Condiciones y el Pliego de Condiciones Definitivo, así como cualesquiera de sus anexos están a disposición del público en el Sistema Electrónico de Contratación Pública – SECOP II.</w:t>
      </w:r>
    </w:p>
    <w:p w14:paraId="42368295" w14:textId="77777777" w:rsidR="00EF2B5D" w:rsidRDefault="00EF2B5D" w:rsidP="00EF2B5D"/>
    <w:p w14:paraId="403C67AB" w14:textId="77777777" w:rsidR="00EF2B5D" w:rsidRDefault="00EF2B5D" w:rsidP="00EF2B5D">
      <w:bookmarkStart w:id="6" w:name="_heading=h.7zwch9hnetf" w:colFirst="0" w:colLast="0"/>
      <w:bookmarkEnd w:id="6"/>
      <w:r>
        <w:t>Los interesados pueden presentar observaciones al Estudio previo o al presente documento, mediante la referida plataforma, en la oportunidad establecida para el efecto en el cronograma del proceso.</w:t>
      </w:r>
    </w:p>
    <w:p w14:paraId="6861E748" w14:textId="77777777" w:rsidR="00EF2B5D" w:rsidRDefault="00EF2B5D" w:rsidP="00EF2B5D"/>
    <w:p w14:paraId="0EF29F09" w14:textId="77777777" w:rsidR="00EF2B5D" w:rsidRDefault="00EF2B5D" w:rsidP="00EF2B5D">
      <w:pPr>
        <w:rPr>
          <w:color w:val="000000"/>
        </w:rPr>
      </w:pPr>
      <w:bookmarkStart w:id="7" w:name="_heading=h.x3zmn8inz26n" w:colFirst="0" w:colLast="0"/>
      <w:bookmarkEnd w:id="7"/>
      <w:r>
        <w:t>Este procedimiento se realiza de conformidad con la modalidad establecida en el Estudio previo, en atención al objeto contractual, las especificaciones técnicas del mismo y el valor del contrato a celebrar.</w:t>
      </w:r>
    </w:p>
    <w:p w14:paraId="0CCBC2A3" w14:textId="77777777" w:rsidR="00EF2B5D" w:rsidRDefault="00EF2B5D" w:rsidP="00EF2B5D">
      <w:pPr>
        <w:ind w:right="60"/>
      </w:pPr>
    </w:p>
    <w:p w14:paraId="7FF69AB0" w14:textId="77777777" w:rsidR="00EF2B5D" w:rsidRDefault="00EF2B5D" w:rsidP="00EF2B5D">
      <w:pPr>
        <w:ind w:right="60"/>
      </w:pPr>
    </w:p>
    <w:p w14:paraId="329949F9" w14:textId="77777777" w:rsidR="00EF2B5D" w:rsidRDefault="00EF2B5D" w:rsidP="00EF2B5D">
      <w:pPr>
        <w:jc w:val="left"/>
      </w:pPr>
      <w:bookmarkStart w:id="8" w:name="_heading=h.rq13ldr22vxl" w:colFirst="0" w:colLast="0"/>
      <w:bookmarkEnd w:id="8"/>
      <w:r>
        <w:br w:type="page"/>
      </w:r>
    </w:p>
    <w:p w14:paraId="3DB7AEFF" w14:textId="77777777" w:rsidR="00EF2B5D" w:rsidRDefault="00EF2B5D" w:rsidP="00DC34C4">
      <w:pPr>
        <w:pStyle w:val="Ttulo1"/>
        <w:keepNext w:val="0"/>
        <w:numPr>
          <w:ilvl w:val="0"/>
          <w:numId w:val="12"/>
        </w:numPr>
        <w:jc w:val="center"/>
      </w:pPr>
      <w:r>
        <w:lastRenderedPageBreak/>
        <w:t>ASPECTOS GENERALES</w:t>
      </w:r>
    </w:p>
    <w:p w14:paraId="4AC148CC" w14:textId="77777777" w:rsidR="00EF2B5D" w:rsidRDefault="00EF2B5D" w:rsidP="00EF2B5D">
      <w:pPr>
        <w:ind w:right="60"/>
      </w:pPr>
    </w:p>
    <w:p w14:paraId="7412A3FB" w14:textId="72CF5E5D" w:rsidR="00EF2B5D" w:rsidRDefault="0071063D" w:rsidP="00DC34C4">
      <w:pPr>
        <w:pStyle w:val="Ttulo2"/>
        <w:keepNext w:val="0"/>
        <w:numPr>
          <w:ilvl w:val="1"/>
          <w:numId w:val="12"/>
        </w:numPr>
        <w:ind w:left="851" w:hanging="851"/>
      </w:pPr>
      <w:r>
        <w:t>OBJETO DEL PROCESO</w:t>
      </w:r>
    </w:p>
    <w:p w14:paraId="0A29C747" w14:textId="77777777" w:rsidR="00EF2B5D" w:rsidRDefault="00EF2B5D" w:rsidP="00EF2B5D"/>
    <w:p w14:paraId="7FCEA244" w14:textId="77777777" w:rsidR="00EF2B5D" w:rsidRDefault="00EF2B5D" w:rsidP="00EF2B5D">
      <w:pPr>
        <w:rPr>
          <w:b/>
          <w:color w:val="000000"/>
        </w:rPr>
      </w:pPr>
      <w:r>
        <w:t>El objeto del proceso es “</w:t>
      </w:r>
      <w:r w:rsidRPr="00751000">
        <w:rPr>
          <w:rFonts w:eastAsia="Times New Roman" w:cs="Arial"/>
          <w:color w:val="C00000"/>
          <w:lang w:eastAsia="es-ES"/>
        </w:rPr>
        <w:t>[Indicar objeto de la contratación requerida]”.</w:t>
      </w:r>
    </w:p>
    <w:p w14:paraId="353402BD" w14:textId="77777777" w:rsidR="00EF2B5D" w:rsidRDefault="00EF2B5D" w:rsidP="00EF2B5D"/>
    <w:p w14:paraId="2759E634" w14:textId="47BBB83F" w:rsidR="00EF2B5D" w:rsidRDefault="0071063D" w:rsidP="00DC34C4">
      <w:pPr>
        <w:pStyle w:val="Ttulo2"/>
        <w:keepNext w:val="0"/>
        <w:numPr>
          <w:ilvl w:val="1"/>
          <w:numId w:val="12"/>
        </w:numPr>
        <w:ind w:left="851" w:hanging="851"/>
      </w:pPr>
      <w:r>
        <w:t>INVITACIÓN A LAS VEEDURÍAS CIUDADANAS</w:t>
      </w:r>
    </w:p>
    <w:p w14:paraId="3EE10EB1" w14:textId="77777777" w:rsidR="00EF2B5D" w:rsidRDefault="00EF2B5D" w:rsidP="00EF2B5D">
      <w:pPr>
        <w:ind w:right="-30"/>
      </w:pPr>
    </w:p>
    <w:p w14:paraId="5AFD5FCF" w14:textId="0996ED68" w:rsidR="00EF2B5D" w:rsidRDefault="00EF2B5D" w:rsidP="00EF2B5D">
      <w:pPr>
        <w:ind w:right="60"/>
      </w:pPr>
      <w:bookmarkStart w:id="9" w:name="_heading=h.r4hwzqvhugcr" w:colFirst="0" w:colLast="0"/>
      <w:bookmarkEnd w:id="9"/>
      <w:r>
        <w:t xml:space="preserve">En cumplimiento de lo dispuesto en el inciso 3 del artículo 66 de la Ley 80 de 1993, la </w:t>
      </w:r>
      <w:r w:rsidR="00C065CD">
        <w:t>UAEMC</w:t>
      </w:r>
      <w:r>
        <w:t xml:space="preserve"> invita a todas las personas y organizaciones interesadas en hacer control social al presente proceso, en cualquiera de sus fases o etapas, a que presenten las recomendaciones que consideren convenientes, intervengan en las audiencias y a que consulten los Documentos del Proceso en el SECOP II. De acuerdo con la Ley 850 del 2003, las veedurías pueden conformar los diferentes comités (técnicos, financieros y sociales, entre otros) para poder ejercer su función. Una vez conformada la veeduría con los parámetros de la ley, desarrollarán su actividad.</w:t>
      </w:r>
    </w:p>
    <w:p w14:paraId="45517B4A" w14:textId="77777777" w:rsidR="00EF2B5D" w:rsidRDefault="00EF2B5D" w:rsidP="00EF2B5D">
      <w:pPr>
        <w:ind w:right="60"/>
      </w:pPr>
    </w:p>
    <w:p w14:paraId="61F39FB8" w14:textId="52D64E58" w:rsidR="00EF2B5D" w:rsidRDefault="0071063D" w:rsidP="00DC34C4">
      <w:pPr>
        <w:pStyle w:val="Ttulo2"/>
        <w:keepNext w:val="0"/>
        <w:numPr>
          <w:ilvl w:val="1"/>
          <w:numId w:val="12"/>
        </w:numPr>
        <w:ind w:left="851" w:hanging="851"/>
      </w:pPr>
      <w:r>
        <w:t>COSTOS DERIVADOS DE PARTICIPAR EN EL PROCESO DE CONTRATACIÓN</w:t>
      </w:r>
    </w:p>
    <w:p w14:paraId="5A434DE1" w14:textId="77777777" w:rsidR="00EF2B5D" w:rsidRDefault="00EF2B5D" w:rsidP="00EF2B5D">
      <w:pPr>
        <w:ind w:right="49"/>
      </w:pPr>
    </w:p>
    <w:p w14:paraId="630F8A20" w14:textId="77777777" w:rsidR="00EF2B5D" w:rsidRDefault="00EF2B5D" w:rsidP="00EF2B5D">
      <w:pPr>
        <w:ind w:right="60"/>
      </w:pPr>
      <w:r>
        <w:t>Los costos y gastos en que los interesados incurran con ocasión del análisis de los documentos del proceso, la presentación de observaciones, la preparación y presentación de las ofertas, la presentación de observaciones a las mismas, la asistencia a audiencias públicas y cualquier otro costo o gasto relacionado con la participación en el proceso de contratación estará a cargo exclusivo de los interesados y proponentes.</w:t>
      </w:r>
    </w:p>
    <w:p w14:paraId="6632E236" w14:textId="77777777" w:rsidR="00EF2B5D" w:rsidRDefault="00EF2B5D" w:rsidP="00EF2B5D">
      <w:pPr>
        <w:ind w:right="60"/>
      </w:pPr>
    </w:p>
    <w:p w14:paraId="491D23BC" w14:textId="2BC16464" w:rsidR="00EF2B5D" w:rsidRDefault="0071063D" w:rsidP="00DC34C4">
      <w:pPr>
        <w:pStyle w:val="Ttulo2"/>
        <w:keepNext w:val="0"/>
        <w:numPr>
          <w:ilvl w:val="1"/>
          <w:numId w:val="12"/>
        </w:numPr>
        <w:ind w:left="851" w:hanging="851"/>
      </w:pPr>
      <w:r>
        <w:t>COMUNICACIONES</w:t>
      </w:r>
    </w:p>
    <w:p w14:paraId="7DF0AF45" w14:textId="77777777" w:rsidR="00EF2B5D" w:rsidRDefault="00EF2B5D" w:rsidP="00EF2B5D">
      <w:pPr>
        <w:ind w:right="-30"/>
      </w:pPr>
    </w:p>
    <w:p w14:paraId="1580F151" w14:textId="77777777" w:rsidR="00EF2B5D" w:rsidRDefault="00EF2B5D" w:rsidP="00EF2B5D">
      <w:pPr>
        <w:ind w:right="60"/>
      </w:pPr>
      <w:r>
        <w:t>Las comunicaciones en el marco del proceso de contratación deben hacerse por escrito, únicamente mediante la plataforma SECOP II.</w:t>
      </w:r>
    </w:p>
    <w:p w14:paraId="0EB65EA9" w14:textId="77777777" w:rsidR="00EF2B5D" w:rsidRDefault="00EF2B5D" w:rsidP="00EF2B5D">
      <w:pPr>
        <w:ind w:right="60"/>
      </w:pPr>
    </w:p>
    <w:p w14:paraId="055A2FA6" w14:textId="707DFAB2" w:rsidR="00EF2B5D" w:rsidRDefault="00EF2B5D" w:rsidP="00EF2B5D">
      <w:pPr>
        <w:ind w:right="60"/>
      </w:pPr>
      <w:r>
        <w:t xml:space="preserve">Las comunicaciones y solicitudes enviadas a la </w:t>
      </w:r>
      <w:r w:rsidR="00C065CD">
        <w:t>UAEMC</w:t>
      </w:r>
      <w:r>
        <w:t>, por canales distintos a los mencionados solo serán tenidas en cuenta para los propósitos del proceso de contratación cuando sean radicadas a través del canal que corresponda.</w:t>
      </w:r>
    </w:p>
    <w:p w14:paraId="6FE293E5" w14:textId="77777777" w:rsidR="00EF2B5D" w:rsidRDefault="00EF2B5D" w:rsidP="00EF2B5D">
      <w:pPr>
        <w:ind w:right="60"/>
      </w:pPr>
    </w:p>
    <w:p w14:paraId="6250B8EB" w14:textId="3CFFE3B8" w:rsidR="00EF2B5D" w:rsidRDefault="0071063D" w:rsidP="00DC34C4">
      <w:pPr>
        <w:pStyle w:val="Ttulo2"/>
        <w:keepNext w:val="0"/>
        <w:numPr>
          <w:ilvl w:val="1"/>
          <w:numId w:val="12"/>
        </w:numPr>
        <w:ind w:left="851" w:hanging="851"/>
      </w:pPr>
      <w:r>
        <w:t>IDIOMA</w:t>
      </w:r>
    </w:p>
    <w:p w14:paraId="4DD2EB9B" w14:textId="77777777" w:rsidR="00EF2B5D" w:rsidRDefault="00EF2B5D" w:rsidP="00EF2B5D">
      <w:pPr>
        <w:ind w:right="7704"/>
      </w:pPr>
    </w:p>
    <w:p w14:paraId="2FA58A27" w14:textId="77777777" w:rsidR="00EF2B5D" w:rsidRDefault="00EF2B5D" w:rsidP="00EF2B5D">
      <w:pPr>
        <w:ind w:right="60"/>
      </w:pPr>
      <w:r>
        <w:t>Los documentos y las comunicaciones entregadas, enviadas o expedidas por los proponentes o por terceros para efectos del proceso de contratación, o para ser tenidos en cuenta en el mismo, deben ser otorgados en español. La oferta y sus anexos deben ser presentados en español.</w:t>
      </w:r>
    </w:p>
    <w:p w14:paraId="7CB1C2C5" w14:textId="77777777" w:rsidR="00EF2B5D" w:rsidRDefault="00EF2B5D" w:rsidP="00EF2B5D">
      <w:pPr>
        <w:ind w:right="60"/>
      </w:pPr>
    </w:p>
    <w:p w14:paraId="4A8A0025" w14:textId="77777777" w:rsidR="00EF2B5D" w:rsidRDefault="00EF2B5D" w:rsidP="00EF2B5D">
      <w:pPr>
        <w:ind w:right="60"/>
      </w:pPr>
      <w:r>
        <w:lastRenderedPageBreak/>
        <w:t>Los documentos con los cuales los proponentes acrediten los requisitos habilitantes y ponderables que estén en una lengua extranjera, deben ser traducidos al español presentarse junto con su original otorgado en lengua extranjera. El proponente debe presentar la traducción oficial al español de los documentos presentados por escrito en idioma extranjero, la cual deberá ser oficial en los términos del artículo 251 del Código General del Proceso, cumpliendo el trámite de apostilla o consularización.</w:t>
      </w:r>
    </w:p>
    <w:p w14:paraId="2B345998" w14:textId="77777777" w:rsidR="00EF2B5D" w:rsidRDefault="00EF2B5D" w:rsidP="00EF2B5D">
      <w:pPr>
        <w:ind w:right="60"/>
      </w:pPr>
    </w:p>
    <w:p w14:paraId="125DE102" w14:textId="34C2327D" w:rsidR="00EF2B5D" w:rsidRDefault="0071063D" w:rsidP="00DC34C4">
      <w:pPr>
        <w:pStyle w:val="Ttulo2"/>
        <w:keepNext w:val="0"/>
        <w:numPr>
          <w:ilvl w:val="1"/>
          <w:numId w:val="12"/>
        </w:numPr>
        <w:ind w:left="851" w:hanging="851"/>
      </w:pPr>
      <w:r>
        <w:t>LEGALIZACIÓN DE DOCUMENTOS OTORGADOS EN EL EXTERIOR</w:t>
      </w:r>
    </w:p>
    <w:p w14:paraId="368DB376" w14:textId="77777777" w:rsidR="00EF2B5D" w:rsidRDefault="00EF2B5D" w:rsidP="00EF2B5D">
      <w:pPr>
        <w:ind w:right="1608"/>
      </w:pPr>
    </w:p>
    <w:p w14:paraId="752A965F" w14:textId="77777777" w:rsidR="00EF2B5D" w:rsidRDefault="00EF2B5D" w:rsidP="00DC34C4">
      <w:pPr>
        <w:numPr>
          <w:ilvl w:val="0"/>
          <w:numId w:val="7"/>
        </w:numPr>
        <w:pBdr>
          <w:top w:val="nil"/>
          <w:left w:val="nil"/>
          <w:bottom w:val="nil"/>
          <w:right w:val="nil"/>
          <w:between w:val="nil"/>
        </w:pBdr>
        <w:ind w:left="426" w:hanging="426"/>
        <w:rPr>
          <w:color w:val="000000"/>
        </w:rPr>
      </w:pPr>
      <w:r>
        <w:rPr>
          <w:b/>
          <w:color w:val="000000"/>
        </w:rPr>
        <w:t>Consularización.</w:t>
      </w:r>
      <w:r>
        <w:rPr>
          <w:color w:val="000000"/>
        </w:rPr>
        <w:t xml:space="preserve"> De conformidad con lo previsto en el artículo 480 del Código de Comercio, </w:t>
      </w:r>
      <w:r>
        <w:rPr>
          <w:i/>
          <w:color w:val="000000"/>
        </w:rPr>
        <w:t>“Los documentos otorgados en el exterior se autenticarán por los funcionarios competentes para ello en el respectivo país, y la firma de tales funcionarios lo será a su vez por el cónsul Colombiano o, a falta de éste, por el de una nación amiga, sin perjuicio de lo establecido en convenios internacionales sobre el régimen de los poderes.</w:t>
      </w:r>
    </w:p>
    <w:p w14:paraId="7DD7B8EA" w14:textId="77777777" w:rsidR="00EF2B5D" w:rsidRDefault="00EF2B5D" w:rsidP="00EF2B5D">
      <w:pPr>
        <w:pBdr>
          <w:top w:val="nil"/>
          <w:left w:val="nil"/>
          <w:bottom w:val="nil"/>
          <w:right w:val="nil"/>
          <w:between w:val="nil"/>
        </w:pBdr>
        <w:ind w:left="567" w:right="567"/>
        <w:rPr>
          <w:i/>
          <w:color w:val="000000"/>
        </w:rPr>
      </w:pPr>
    </w:p>
    <w:p w14:paraId="57DDD354" w14:textId="77777777" w:rsidR="00EF2B5D" w:rsidRDefault="00EF2B5D" w:rsidP="00EF2B5D">
      <w:pPr>
        <w:pBdr>
          <w:top w:val="nil"/>
          <w:left w:val="nil"/>
          <w:bottom w:val="nil"/>
          <w:right w:val="nil"/>
          <w:between w:val="nil"/>
        </w:pBdr>
        <w:ind w:left="426"/>
        <w:rPr>
          <w:color w:val="000000"/>
        </w:rPr>
      </w:pPr>
      <w:r>
        <w:rPr>
          <w:i/>
          <w:color w:val="000000"/>
        </w:rPr>
        <w:t>Al autenticar los documentos a que se refiere este artículo los cónsules harán constar que existe la sociedad y ejerce su objeto conforme a las leyes del respectivo país.”</w:t>
      </w:r>
    </w:p>
    <w:p w14:paraId="74013420" w14:textId="77777777" w:rsidR="00EF2B5D" w:rsidRDefault="00EF2B5D" w:rsidP="00EF2B5D">
      <w:pPr>
        <w:pBdr>
          <w:top w:val="nil"/>
          <w:left w:val="nil"/>
          <w:bottom w:val="nil"/>
          <w:right w:val="nil"/>
          <w:between w:val="nil"/>
        </w:pBdr>
        <w:ind w:left="426" w:hanging="426"/>
        <w:rPr>
          <w:color w:val="000000"/>
        </w:rPr>
      </w:pPr>
    </w:p>
    <w:p w14:paraId="6D399E11" w14:textId="77777777" w:rsidR="00EF2B5D" w:rsidRDefault="00EF2B5D" w:rsidP="00DC34C4">
      <w:pPr>
        <w:numPr>
          <w:ilvl w:val="0"/>
          <w:numId w:val="7"/>
        </w:numPr>
        <w:pBdr>
          <w:top w:val="nil"/>
          <w:left w:val="nil"/>
          <w:bottom w:val="nil"/>
          <w:right w:val="nil"/>
          <w:between w:val="nil"/>
        </w:pBdr>
        <w:ind w:left="426" w:hanging="426"/>
        <w:rPr>
          <w:color w:val="000000"/>
        </w:rPr>
      </w:pPr>
      <w:r>
        <w:rPr>
          <w:color w:val="000000"/>
        </w:rPr>
        <w:t>Surtido el trámite señalado en el presente numeral, estos documentos deben ser presentados ante el Ministerio de Relaciones Exteriores de Colombia (Oficina de Legalizaciones) para la correspondiente legalización de la firma del cónsul y demás trámites pertinentes.</w:t>
      </w:r>
    </w:p>
    <w:p w14:paraId="5671E87D" w14:textId="77777777" w:rsidR="00EF2B5D" w:rsidRDefault="00EF2B5D" w:rsidP="00EF2B5D">
      <w:pPr>
        <w:pBdr>
          <w:top w:val="nil"/>
          <w:left w:val="nil"/>
          <w:bottom w:val="nil"/>
          <w:right w:val="nil"/>
          <w:between w:val="nil"/>
        </w:pBdr>
        <w:ind w:left="426" w:hanging="426"/>
        <w:rPr>
          <w:color w:val="000000"/>
        </w:rPr>
      </w:pPr>
    </w:p>
    <w:p w14:paraId="6AF0D60E" w14:textId="77777777" w:rsidR="00EF2B5D" w:rsidRDefault="00EF2B5D" w:rsidP="00DC34C4">
      <w:pPr>
        <w:numPr>
          <w:ilvl w:val="0"/>
          <w:numId w:val="7"/>
        </w:numPr>
        <w:pBdr>
          <w:top w:val="nil"/>
          <w:left w:val="nil"/>
          <w:bottom w:val="nil"/>
          <w:right w:val="nil"/>
          <w:between w:val="nil"/>
        </w:pBdr>
        <w:ind w:left="426" w:hanging="426"/>
        <w:rPr>
          <w:color w:val="000000"/>
        </w:rPr>
      </w:pPr>
      <w:r>
        <w:rPr>
          <w:b/>
          <w:color w:val="000000"/>
        </w:rPr>
        <w:t>Apostilla.</w:t>
      </w:r>
      <w:r>
        <w:rPr>
          <w:color w:val="000000"/>
        </w:rPr>
        <w:t xml:space="preserve"> Cuando se trate de documentos de naturaleza pública otorgados en el exterior, de conformidad con lo previsto en la Ley 455 de 1998, no se requerirá del trámite de consularización señalado en el literal anterior, siempre que provenga de uno de los países signatarios de la Convención de La Haya del 5 de octubre de 1961, sobre abolición del requisito de legalización para documentos públicos extranjeros. En este caso sólo será exigible la apostilla, trámite que consiste en el certificado mediante el cual se avala la autenticidad de la firma y el título a que ha actuado la persona firmante del documento y que se surte ante la autoridad competente en el país de origen. Si la apostilla está dada en idioma distinto al español, deberá presentarse acompañada de una traducción oficial a dicho idioma y la firma del traductor legalizada de conformidad con las normas vigentes.</w:t>
      </w:r>
    </w:p>
    <w:p w14:paraId="3450BE57" w14:textId="77777777" w:rsidR="00EF2B5D" w:rsidRDefault="00EF2B5D" w:rsidP="00EF2B5D"/>
    <w:p w14:paraId="18A2CEC6" w14:textId="77777777" w:rsidR="00EF2B5D" w:rsidRDefault="00EF2B5D" w:rsidP="00DC34C4">
      <w:pPr>
        <w:numPr>
          <w:ilvl w:val="0"/>
          <w:numId w:val="7"/>
        </w:numPr>
        <w:pBdr>
          <w:top w:val="nil"/>
          <w:left w:val="nil"/>
          <w:bottom w:val="nil"/>
          <w:right w:val="nil"/>
          <w:between w:val="nil"/>
        </w:pBdr>
        <w:ind w:left="426" w:hanging="426"/>
        <w:rPr>
          <w:color w:val="000000"/>
        </w:rPr>
      </w:pPr>
      <w:r>
        <w:rPr>
          <w:b/>
          <w:color w:val="000000"/>
        </w:rPr>
        <w:t>Legalizaciones</w:t>
      </w:r>
      <w:r>
        <w:rPr>
          <w:color w:val="000000"/>
        </w:rPr>
        <w:t xml:space="preserve"> </w:t>
      </w:r>
    </w:p>
    <w:p w14:paraId="38E33A20" w14:textId="77777777" w:rsidR="00EF2B5D" w:rsidRDefault="00EF2B5D" w:rsidP="00EF2B5D"/>
    <w:p w14:paraId="0039C04F" w14:textId="6D44044A" w:rsidR="00EF2B5D" w:rsidRDefault="00751000" w:rsidP="00DC34C4">
      <w:pPr>
        <w:numPr>
          <w:ilvl w:val="0"/>
          <w:numId w:val="13"/>
        </w:numPr>
        <w:ind w:left="426" w:hanging="426"/>
      </w:pPr>
      <w:r>
        <w:t>Los proponentes provenientes de países signatarios de la Convención de La Haya</w:t>
      </w:r>
      <w:r w:rsidR="00EF2B5D">
        <w:t xml:space="preserve"> citada en el literal (</w:t>
      </w:r>
      <w:proofErr w:type="spellStart"/>
      <w:r w:rsidR="00EF2B5D">
        <w:t>iii</w:t>
      </w:r>
      <w:proofErr w:type="spellEnd"/>
      <w:r w:rsidR="00EF2B5D">
        <w:t>) anterior podrán optar, como procedimiento de legalización de los documentos otorgados en el exterior, por la consularización descrita en el numeral (i y ii) anterior o la Apostilla descrita en el numeral (</w:t>
      </w:r>
      <w:proofErr w:type="spellStart"/>
      <w:r w:rsidR="00EF2B5D">
        <w:t>iii</w:t>
      </w:r>
      <w:proofErr w:type="spellEnd"/>
      <w:r w:rsidR="00EF2B5D">
        <w:t>) anterior.</w:t>
      </w:r>
    </w:p>
    <w:p w14:paraId="429352A4" w14:textId="77777777" w:rsidR="00EF2B5D" w:rsidRDefault="00EF2B5D" w:rsidP="00DC34C4">
      <w:pPr>
        <w:numPr>
          <w:ilvl w:val="0"/>
          <w:numId w:val="13"/>
        </w:numPr>
        <w:ind w:left="426" w:hanging="426"/>
      </w:pPr>
      <w:r>
        <w:lastRenderedPageBreak/>
        <w:t>Los anexos al presente pliego que deben completar los interesados, no deberán contar con el procedimiento descrito en los literales (i), (</w:t>
      </w:r>
      <w:proofErr w:type="spellStart"/>
      <w:r>
        <w:t>ii</w:t>
      </w:r>
      <w:proofErr w:type="spellEnd"/>
      <w:r>
        <w:t>) o (</w:t>
      </w:r>
      <w:proofErr w:type="spellStart"/>
      <w:r>
        <w:t>iii</w:t>
      </w:r>
      <w:proofErr w:type="spellEnd"/>
      <w:r>
        <w:t>) anteriores.</w:t>
      </w:r>
    </w:p>
    <w:p w14:paraId="28D64369" w14:textId="77777777" w:rsidR="00EF2B5D" w:rsidRDefault="00EF2B5D" w:rsidP="00DC34C4">
      <w:pPr>
        <w:numPr>
          <w:ilvl w:val="0"/>
          <w:numId w:val="13"/>
        </w:numPr>
        <w:ind w:left="426" w:hanging="426"/>
      </w:pPr>
      <w:r>
        <w:t>En caso de que la ley lo requiera, la consularización o apostilla de los documentos otorgados en el exterior deberán presentarse en original o copia o en los términos requeridos por la entidad.</w:t>
      </w:r>
    </w:p>
    <w:p w14:paraId="3EE4CF3D" w14:textId="77777777" w:rsidR="00EF2B5D" w:rsidRDefault="00EF2B5D" w:rsidP="00EF2B5D"/>
    <w:p w14:paraId="6AEF248F" w14:textId="74476F59" w:rsidR="00EF2B5D" w:rsidRDefault="0071063D" w:rsidP="00DC34C4">
      <w:pPr>
        <w:pStyle w:val="Ttulo2"/>
        <w:keepNext w:val="0"/>
        <w:numPr>
          <w:ilvl w:val="1"/>
          <w:numId w:val="12"/>
        </w:numPr>
        <w:ind w:left="851" w:hanging="851"/>
      </w:pPr>
      <w:r>
        <w:t>POTESTAD DE VERIFICACIÓN O INFORMACIÓN INEXACTA</w:t>
      </w:r>
    </w:p>
    <w:p w14:paraId="735A7423" w14:textId="77777777" w:rsidR="00EF2B5D" w:rsidRDefault="00EF2B5D" w:rsidP="00EF2B5D"/>
    <w:p w14:paraId="70265C05" w14:textId="77777777" w:rsidR="00EF2B5D" w:rsidRDefault="00EF2B5D" w:rsidP="00EF2B5D">
      <w:r>
        <w:t>La Entidad se reserva el derecho de verificar integralmente la autenticidad, exactitud y coherencia de la totalidad de la información aportada por el proponente, pudiendo acudir para ello a las fuentes, personas, empresas, Entidades Estatales o aquellos medios que considere necesarios para el cumplimiento de dicha verificación.</w:t>
      </w:r>
    </w:p>
    <w:p w14:paraId="0AA52F05" w14:textId="77777777" w:rsidR="00EF2B5D" w:rsidRDefault="00EF2B5D" w:rsidP="00EF2B5D"/>
    <w:p w14:paraId="7E098863" w14:textId="77777777" w:rsidR="00EF2B5D" w:rsidRDefault="00EF2B5D" w:rsidP="00EF2B5D">
      <w:r>
        <w:t>Cuando exista inconsistencia entre la información suministrada por el proponente y la verificada por la entidad, la información que pretende demostrar el proponente se tendrá por no acreditada.</w:t>
      </w:r>
    </w:p>
    <w:p w14:paraId="4EC2394C" w14:textId="77777777" w:rsidR="00EF2B5D" w:rsidRDefault="00EF2B5D" w:rsidP="00EF2B5D"/>
    <w:p w14:paraId="0C1CF1DA" w14:textId="77777777" w:rsidR="00EF2B5D" w:rsidRDefault="00EF2B5D" w:rsidP="00EF2B5D">
      <w:r>
        <w:t>La entidad compulsará copias a las autoridades competentes en aquellos eventos en los cuales la información aportada tenga inconsistencias sobre las cuales pueda existir una posible falsedad, sin que el proponente haya demostrado lo contrario, y rechazará la oferta.</w:t>
      </w:r>
    </w:p>
    <w:p w14:paraId="4D76F87C" w14:textId="77777777" w:rsidR="00EF2B5D" w:rsidRDefault="00EF2B5D" w:rsidP="00EF2B5D"/>
    <w:p w14:paraId="6827810A" w14:textId="77777777" w:rsidR="00EF2B5D" w:rsidRDefault="00EF2B5D" w:rsidP="00EF2B5D">
      <w:r>
        <w:t>No se configura este supuesto cuando a pesar de que las personas jurídicas están exentas de los aportes a seguridad social, en el Formato de Pago de Seguridad Social acreditan el pago.</w:t>
      </w:r>
    </w:p>
    <w:p w14:paraId="4E8E4E39" w14:textId="77777777" w:rsidR="00EF2B5D" w:rsidRDefault="00EF2B5D" w:rsidP="00EF2B5D"/>
    <w:p w14:paraId="445BC8A2" w14:textId="237983AA" w:rsidR="00EF2B5D" w:rsidRDefault="0071063D" w:rsidP="00DC34C4">
      <w:pPr>
        <w:pStyle w:val="Ttulo2"/>
        <w:keepNext w:val="0"/>
        <w:numPr>
          <w:ilvl w:val="1"/>
          <w:numId w:val="12"/>
        </w:numPr>
        <w:ind w:left="851" w:hanging="851"/>
      </w:pPr>
      <w:r>
        <w:t>CONVERSIÓN DE MONEDAS</w:t>
      </w:r>
    </w:p>
    <w:p w14:paraId="102CC639" w14:textId="77777777" w:rsidR="00EF2B5D" w:rsidRDefault="00EF2B5D" w:rsidP="00EF2B5D">
      <w:pPr>
        <w:ind w:right="49"/>
      </w:pPr>
    </w:p>
    <w:p w14:paraId="20BD243E" w14:textId="77777777" w:rsidR="00EF2B5D" w:rsidRDefault="00EF2B5D" w:rsidP="00EF2B5D">
      <w:pPr>
        <w:ind w:right="60"/>
      </w:pPr>
      <w:r>
        <w:t>Los valores de los documentos aportados en la propuesta deben presentarse en pesos colombianos. Cuando un valor se exprese en moneda extranjera debe convertirse a pesos colombianos teniendo en cuenta lo siguiente:</w:t>
      </w:r>
    </w:p>
    <w:p w14:paraId="13242675" w14:textId="77777777" w:rsidR="00EF2B5D" w:rsidRDefault="00EF2B5D" w:rsidP="00EF2B5D">
      <w:pPr>
        <w:ind w:right="60"/>
      </w:pPr>
    </w:p>
    <w:p w14:paraId="6CE4185D" w14:textId="77777777" w:rsidR="00EF2B5D" w:rsidRDefault="00EF2B5D" w:rsidP="00EF2B5D">
      <w:pPr>
        <w:ind w:right="60"/>
      </w:pPr>
      <w:r>
        <w:t>Si los valores de un contrato están expresados originalmente en dólares de los Estados Unidos de América, los valores se convertirán a pesos colombianos, utilizando el valor correspondiente al promedio entre la TRM de la fecha de inicio del contrato y la TRM de la fecha de terminación del contrato. Para esto, el proponente deberá indicar la tasa representativa del mercado utilizada para la conversión de cada contrato; la TRM utilizada será la certificada por la Superintendencia Financiera de Colombia.</w:t>
      </w:r>
    </w:p>
    <w:p w14:paraId="05879B07" w14:textId="77777777" w:rsidR="00EF2B5D" w:rsidRDefault="00EF2B5D" w:rsidP="00EF2B5D">
      <w:pPr>
        <w:ind w:right="60"/>
      </w:pPr>
    </w:p>
    <w:p w14:paraId="3E531D1B" w14:textId="77777777" w:rsidR="00EF2B5D" w:rsidRDefault="00EF2B5D" w:rsidP="00EF2B5D">
      <w:pPr>
        <w:ind w:right="60"/>
      </w:pPr>
      <w:r>
        <w:t xml:space="preserve">Si los valores del contrato están expresados originalmente en una moneda diferente a dólares de los Estados Unidos de América, estos deberán convertirse inicialmente a esta moneda, </w:t>
      </w:r>
      <w:r>
        <w:lastRenderedPageBreak/>
        <w:t>utilizando para ello el valor correspondiente al promedio entre la tasa de cambio de la fecha de inicio del contrato y la tasa de cambio de la fecha de terminación del contrato.</w:t>
      </w:r>
    </w:p>
    <w:p w14:paraId="15906C2E" w14:textId="77777777" w:rsidR="00EF2B5D" w:rsidRDefault="00EF2B5D" w:rsidP="00EF2B5D">
      <w:pPr>
        <w:ind w:right="60"/>
      </w:pPr>
    </w:p>
    <w:p w14:paraId="6092CC3E" w14:textId="77777777" w:rsidR="00EF2B5D" w:rsidRDefault="00EF2B5D" w:rsidP="00EF2B5D">
      <w:pPr>
        <w:ind w:right="60"/>
      </w:pPr>
      <w:r>
        <w:t>Para la conversión al dólar, se deberá tomar, para todos los efectos, como tasa de referencia la tasa de cambio del día de corte que se especifique en el respectivo estado financiero; dicha tasa de cambio deberá ser la certificada: (i) por el Banco de la República de Colombia, (ii) en su defecto por el Banco Central; (</w:t>
      </w:r>
      <w:proofErr w:type="spellStart"/>
      <w:r>
        <w:t>iii</w:t>
      </w:r>
      <w:proofErr w:type="spellEnd"/>
      <w:r>
        <w:t>) en caso que no la certifique las entidades descritas en el numeral (i) o (ii) por el organismo legalmente competente del país en que se emitió dicho documento.</w:t>
      </w:r>
    </w:p>
    <w:p w14:paraId="7AB254D1" w14:textId="77777777" w:rsidR="00EF2B5D" w:rsidRDefault="00EF2B5D" w:rsidP="00EF2B5D">
      <w:pPr>
        <w:ind w:right="60"/>
      </w:pPr>
    </w:p>
    <w:p w14:paraId="6C0F623B" w14:textId="77777777" w:rsidR="00123DA2" w:rsidRDefault="00EF2B5D" w:rsidP="00EF2B5D">
      <w:pPr>
        <w:ind w:right="60"/>
      </w:pPr>
      <w:r>
        <w:t>Para tales efectos, se puede utilizar la información certificada por el Banco de la República.</w:t>
      </w:r>
    </w:p>
    <w:p w14:paraId="266CBE27" w14:textId="608ED3DE" w:rsidR="00EF2B5D" w:rsidRDefault="00EF2B5D" w:rsidP="00EF2B5D">
      <w:pPr>
        <w:ind w:right="60"/>
      </w:pPr>
      <w:r>
        <w:t xml:space="preserve"> </w:t>
      </w:r>
      <w:r w:rsidRPr="00E8495F">
        <w:rPr>
          <w:color w:val="C00000"/>
        </w:rPr>
        <w:t xml:space="preserve">[Para el cálculo se recomienda acudir al siguiente link: </w:t>
      </w:r>
      <w:r w:rsidR="00123DA2">
        <w:rPr>
          <w:color w:val="C00000"/>
        </w:rPr>
        <w:tab/>
      </w:r>
      <w:r w:rsidR="00123DA2">
        <w:rPr>
          <w:color w:val="C00000"/>
        </w:rPr>
        <w:tab/>
      </w:r>
      <w:hyperlink r:id="rId8" w:history="1">
        <w:r w:rsidR="00123DA2" w:rsidRPr="006B17D8">
          <w:rPr>
            <w:rStyle w:val="Hipervnculo"/>
          </w:rPr>
          <w:t>https://www.oanda.com/lang/es/currency/converter/</w:t>
        </w:r>
      </w:hyperlink>
      <w:r w:rsidRPr="00E8495F">
        <w:rPr>
          <w:color w:val="C00000"/>
        </w:rPr>
        <w:t>]</w:t>
      </w:r>
      <w:r>
        <w:t>. Hecho esto, se procederá en la forma señalada en el numeral anterior.</w:t>
      </w:r>
    </w:p>
    <w:p w14:paraId="34C7AB1F" w14:textId="77777777" w:rsidR="00EF2B5D" w:rsidRDefault="00EF2B5D" w:rsidP="00EF2B5D">
      <w:pPr>
        <w:ind w:right="60"/>
      </w:pPr>
    </w:p>
    <w:p w14:paraId="6AFC8CA4" w14:textId="77777777" w:rsidR="00EF2B5D" w:rsidRDefault="00EF2B5D" w:rsidP="00EF2B5D">
      <w:pPr>
        <w:ind w:right="60"/>
      </w:pPr>
      <w:r>
        <w:t xml:space="preserve">Los proponentes deben presentar sus </w:t>
      </w:r>
      <w:r>
        <w:rPr>
          <w:b/>
        </w:rPr>
        <w:t>estados financieros</w:t>
      </w:r>
      <w:r>
        <w:t xml:space="preserve"> en la moneda legal del país en el cual fueron emitidos y adicionalmente en pesos colombianos.</w:t>
      </w:r>
    </w:p>
    <w:p w14:paraId="75AC5B3F" w14:textId="77777777" w:rsidR="00EF2B5D" w:rsidRDefault="00EF2B5D" w:rsidP="00EF2B5D">
      <w:pPr>
        <w:ind w:right="60"/>
      </w:pPr>
    </w:p>
    <w:p w14:paraId="703580D6" w14:textId="77777777" w:rsidR="00EF2B5D" w:rsidRDefault="00EF2B5D" w:rsidP="00EF2B5D">
      <w:pPr>
        <w:ind w:right="60"/>
      </w:pPr>
      <w:r>
        <w:t>Si está expresado originalmente en una moneda diferente a dólares de los Estados Unidos de Norte América, debe convertirse a esta moneda utilizando para ello el valor correspondiente con el siguiente procedimiento de conversión:</w:t>
      </w:r>
    </w:p>
    <w:p w14:paraId="4F9C82CF" w14:textId="77777777" w:rsidR="00EF2B5D" w:rsidRDefault="00EF2B5D" w:rsidP="00EF2B5D">
      <w:pPr>
        <w:ind w:right="60"/>
      </w:pPr>
      <w:r>
        <w:t xml:space="preserve"> </w:t>
      </w:r>
    </w:p>
    <w:p w14:paraId="42531CC9" w14:textId="77777777" w:rsidR="00EF2B5D" w:rsidRDefault="00EF2B5D" w:rsidP="00DC34C4">
      <w:pPr>
        <w:numPr>
          <w:ilvl w:val="0"/>
          <w:numId w:val="1"/>
        </w:numPr>
        <w:pBdr>
          <w:top w:val="nil"/>
          <w:left w:val="nil"/>
          <w:bottom w:val="nil"/>
          <w:right w:val="nil"/>
          <w:between w:val="nil"/>
        </w:pBdr>
        <w:ind w:left="426" w:right="60" w:hanging="426"/>
        <w:rPr>
          <w:color w:val="000000"/>
        </w:rPr>
      </w:pPr>
      <w:r>
        <w:rPr>
          <w:color w:val="000000"/>
        </w:rPr>
        <w:t>Si la moneda de origen es diferente al dólar, se deberá convertir la moneda original al dólar y luego a Pesos. Para la conversión al dólar, se deberá tomar, para todos los efectos, como tasa de referencia la tasa de cambio del día de corte que se especifique en el respectivo estado financiero; dicha tasa de cambio deberá ser la certificada: (i) por el Banco de la República de Colombia, (ii) en su defecto por el Banco Central; (</w:t>
      </w:r>
      <w:proofErr w:type="spellStart"/>
      <w:r>
        <w:rPr>
          <w:color w:val="000000"/>
        </w:rPr>
        <w:t>iii</w:t>
      </w:r>
      <w:proofErr w:type="spellEnd"/>
      <w:r>
        <w:rPr>
          <w:color w:val="000000"/>
        </w:rPr>
        <w:t>) en caso que no la certifique las entidades descritas en el numeral (i) o (ii) por el organismo legalmente competente del país en que se emitió dicho documento.</w:t>
      </w:r>
    </w:p>
    <w:p w14:paraId="09841FD8" w14:textId="77777777" w:rsidR="00EF2B5D" w:rsidRDefault="00EF2B5D" w:rsidP="00EF2B5D">
      <w:pPr>
        <w:ind w:right="60"/>
      </w:pPr>
    </w:p>
    <w:p w14:paraId="2CC64643" w14:textId="77777777" w:rsidR="00EF2B5D" w:rsidRDefault="00EF2B5D" w:rsidP="00EF2B5D">
      <w:pPr>
        <w:ind w:right="60"/>
      </w:pPr>
      <w:r>
        <w:t>Si se trata de estados financieros, una vez que se tengan las cifras en dólares de los Estados Unidos de América o si la información se presenta originalmente en dicha moneda, se debe tener en cuenta la tasa representativa del mercado TRM certificada por la Superintendencia Financiera de Colombia para la fecha de corte de estos.</w:t>
      </w:r>
    </w:p>
    <w:p w14:paraId="4D8232EF" w14:textId="77777777" w:rsidR="00EF2B5D" w:rsidRDefault="00EF2B5D" w:rsidP="00EF2B5D">
      <w:pPr>
        <w:ind w:right="60"/>
      </w:pPr>
    </w:p>
    <w:p w14:paraId="16E8D651" w14:textId="3EE248B9" w:rsidR="00EF2B5D" w:rsidRDefault="0071063D" w:rsidP="00DC34C4">
      <w:pPr>
        <w:pStyle w:val="Ttulo2"/>
        <w:keepNext w:val="0"/>
        <w:numPr>
          <w:ilvl w:val="1"/>
          <w:numId w:val="12"/>
        </w:numPr>
        <w:ind w:left="851" w:hanging="851"/>
      </w:pPr>
      <w:r>
        <w:t>CONVERSIÓN A SALARIOS MÍNIMOS MENSUALES LEGALES VIGENTES (SMMLV)</w:t>
      </w:r>
    </w:p>
    <w:p w14:paraId="7D728C95" w14:textId="77777777" w:rsidR="00EF2B5D" w:rsidRDefault="00EF2B5D" w:rsidP="00EF2B5D">
      <w:pPr>
        <w:ind w:right="60"/>
      </w:pPr>
    </w:p>
    <w:p w14:paraId="2E8821F2" w14:textId="77777777" w:rsidR="00EF2B5D" w:rsidRDefault="00EF2B5D" w:rsidP="00EF2B5D">
      <w:pPr>
        <w:ind w:right="60"/>
      </w:pPr>
      <w:r>
        <w:t>Cuando los Documentos del proceso señalen que un valor debe expresarse en Salarios Mínimos Mensuales Legales Vigentes (SMMLV) se seguirá el siguiente proceso:</w:t>
      </w:r>
    </w:p>
    <w:p w14:paraId="378B1775" w14:textId="77777777" w:rsidR="00EF2B5D" w:rsidRDefault="00EF2B5D" w:rsidP="00EF2B5D">
      <w:pPr>
        <w:ind w:right="60"/>
      </w:pPr>
    </w:p>
    <w:p w14:paraId="6E0FB579" w14:textId="77777777" w:rsidR="00EF2B5D" w:rsidRDefault="00EF2B5D" w:rsidP="00DC34C4">
      <w:pPr>
        <w:numPr>
          <w:ilvl w:val="0"/>
          <w:numId w:val="14"/>
        </w:numPr>
        <w:pBdr>
          <w:top w:val="nil"/>
          <w:left w:val="nil"/>
          <w:bottom w:val="nil"/>
          <w:right w:val="nil"/>
          <w:between w:val="nil"/>
        </w:pBdr>
        <w:ind w:left="426" w:hanging="426"/>
      </w:pPr>
      <w:r>
        <w:rPr>
          <w:color w:val="000000"/>
        </w:rPr>
        <w:t>Los valores serán convertidos a pesos colombianos aplicando el proceso descrito en el literal anterior, o cuya moneda de origen sea el peso colombiano, deben convertirse a SMMLV, para lo cual se emplearán los valores históricos de SMMLV señalados por el Banco de la República (</w:t>
      </w:r>
      <w:hyperlink r:id="rId9">
        <w:r>
          <w:rPr>
            <w:color w:val="0000FF"/>
            <w:u w:val="single"/>
          </w:rPr>
          <w:t>http://www.banrep.gov.co/es/mercado-laboral/salarios</w:t>
        </w:r>
      </w:hyperlink>
      <w:r>
        <w:rPr>
          <w:color w:val="000000"/>
        </w:rPr>
        <w:t>) del año correspondiente a la fecha de terminación del contrato.</w:t>
      </w:r>
    </w:p>
    <w:p w14:paraId="6BB1D838" w14:textId="2344B762" w:rsidR="00EF2B5D" w:rsidRDefault="00EF2B5D" w:rsidP="00DC34C4">
      <w:pPr>
        <w:numPr>
          <w:ilvl w:val="0"/>
          <w:numId w:val="14"/>
        </w:numPr>
        <w:pBdr>
          <w:top w:val="nil"/>
          <w:left w:val="nil"/>
          <w:bottom w:val="nil"/>
          <w:right w:val="nil"/>
          <w:between w:val="nil"/>
        </w:pBdr>
        <w:ind w:left="426" w:hanging="426"/>
      </w:pPr>
      <w:r>
        <w:rPr>
          <w:color w:val="000000"/>
        </w:rPr>
        <w:t>Los valores convertidos a SMMLV se deben ajustar a la unidad más próxima de la siguiente forma: hacia arriba</w:t>
      </w:r>
      <w:r w:rsidR="00FA39AB">
        <w:rPr>
          <w:color w:val="000000"/>
        </w:rPr>
        <w:t>,</w:t>
      </w:r>
      <w:r>
        <w:rPr>
          <w:color w:val="000000"/>
        </w:rPr>
        <w:t xml:space="preserve"> para valores mayores o iguales a </w:t>
      </w:r>
      <w:proofErr w:type="gramStart"/>
      <w:r>
        <w:rPr>
          <w:color w:val="000000"/>
        </w:rPr>
        <w:t xml:space="preserve">cero </w:t>
      </w:r>
      <w:r w:rsidR="00206BF9">
        <w:rPr>
          <w:color w:val="000000"/>
        </w:rPr>
        <w:t>coma</w:t>
      </w:r>
      <w:proofErr w:type="gramEnd"/>
      <w:r>
        <w:rPr>
          <w:color w:val="000000"/>
        </w:rPr>
        <w:t xml:space="preserve"> cinco (0</w:t>
      </w:r>
      <w:r w:rsidR="00206BF9">
        <w:rPr>
          <w:color w:val="000000"/>
        </w:rPr>
        <w:t>,</w:t>
      </w:r>
      <w:r>
        <w:rPr>
          <w:color w:val="000000"/>
        </w:rPr>
        <w:t>5) y</w:t>
      </w:r>
      <w:r w:rsidR="00FA39AB">
        <w:rPr>
          <w:color w:val="000000"/>
        </w:rPr>
        <w:t>,</w:t>
      </w:r>
      <w:r>
        <w:rPr>
          <w:color w:val="000000"/>
        </w:rPr>
        <w:t xml:space="preserve"> hacia abajo</w:t>
      </w:r>
      <w:r w:rsidR="00FA39AB">
        <w:rPr>
          <w:color w:val="000000"/>
        </w:rPr>
        <w:t>,</w:t>
      </w:r>
      <w:r>
        <w:rPr>
          <w:color w:val="000000"/>
        </w:rPr>
        <w:t xml:space="preserve"> para valores menores a cero </w:t>
      </w:r>
      <w:r w:rsidR="00ED1F3D">
        <w:rPr>
          <w:color w:val="000000"/>
        </w:rPr>
        <w:t>coma</w:t>
      </w:r>
      <w:r>
        <w:rPr>
          <w:color w:val="000000"/>
        </w:rPr>
        <w:t xml:space="preserve"> cinco (0</w:t>
      </w:r>
      <w:r w:rsidR="00ED1F3D">
        <w:rPr>
          <w:color w:val="000000"/>
        </w:rPr>
        <w:t>,</w:t>
      </w:r>
      <w:r>
        <w:rPr>
          <w:color w:val="000000"/>
        </w:rPr>
        <w:t>5).</w:t>
      </w:r>
    </w:p>
    <w:p w14:paraId="20C0C086" w14:textId="77777777" w:rsidR="00EF2B5D" w:rsidRDefault="00EF2B5D" w:rsidP="00EF2B5D">
      <w:pPr>
        <w:ind w:right="60"/>
      </w:pPr>
    </w:p>
    <w:p w14:paraId="1DA6A8FA" w14:textId="77777777" w:rsidR="00EF2B5D" w:rsidRDefault="00EF2B5D" w:rsidP="00EF2B5D">
      <w:pPr>
        <w:ind w:right="60"/>
      </w:pPr>
      <w:r>
        <w:t>El proponente debe aporta certificaciones en las que se especifique días, mes y año. En el caso en el cual no se indique el día, sino solamente el mes y el año, previa aclaración o subsanación, se procederá así:</w:t>
      </w:r>
    </w:p>
    <w:p w14:paraId="1DAD3F90" w14:textId="77777777" w:rsidR="00EF2B5D" w:rsidRDefault="00EF2B5D" w:rsidP="00EF2B5D">
      <w:pPr>
        <w:ind w:right="60"/>
      </w:pPr>
    </w:p>
    <w:p w14:paraId="1A6C2865" w14:textId="77777777" w:rsidR="00EF2B5D" w:rsidRDefault="00EF2B5D" w:rsidP="00DC34C4">
      <w:pPr>
        <w:numPr>
          <w:ilvl w:val="0"/>
          <w:numId w:val="1"/>
        </w:numPr>
        <w:pBdr>
          <w:top w:val="nil"/>
          <w:left w:val="nil"/>
          <w:bottom w:val="nil"/>
          <w:right w:val="nil"/>
          <w:between w:val="nil"/>
        </w:pBdr>
        <w:ind w:left="426" w:right="60" w:hanging="426"/>
        <w:rPr>
          <w:color w:val="000000"/>
        </w:rPr>
      </w:pPr>
      <w:r>
        <w:rPr>
          <w:color w:val="000000"/>
        </w:rPr>
        <w:t>Fecha (mes, año) de suscripción y/o inicio del contrato: se tendrá en cuenta el último día del mes señalado en la certificación.</w:t>
      </w:r>
    </w:p>
    <w:p w14:paraId="42565D31" w14:textId="77777777" w:rsidR="00EF2B5D" w:rsidRDefault="00EF2B5D" w:rsidP="00DC34C4">
      <w:pPr>
        <w:numPr>
          <w:ilvl w:val="0"/>
          <w:numId w:val="1"/>
        </w:numPr>
        <w:pBdr>
          <w:top w:val="nil"/>
          <w:left w:val="nil"/>
          <w:bottom w:val="nil"/>
          <w:right w:val="nil"/>
          <w:between w:val="nil"/>
        </w:pBdr>
        <w:ind w:left="426" w:right="60" w:hanging="426"/>
        <w:rPr>
          <w:color w:val="000000"/>
        </w:rPr>
      </w:pPr>
      <w:r>
        <w:rPr>
          <w:color w:val="000000"/>
        </w:rPr>
        <w:t>Fecha (mes, año) de terminación del contrato: se tendrá en cuenta el primer día del mes señalado en la certificación.</w:t>
      </w:r>
    </w:p>
    <w:p w14:paraId="06420AFA" w14:textId="77777777" w:rsidR="00EF2B5D" w:rsidRDefault="00EF2B5D" w:rsidP="00EF2B5D">
      <w:pPr>
        <w:ind w:right="60"/>
      </w:pPr>
    </w:p>
    <w:p w14:paraId="2EABDB0F" w14:textId="2BECC854" w:rsidR="00EF2B5D" w:rsidRDefault="0071063D" w:rsidP="00DC34C4">
      <w:pPr>
        <w:pStyle w:val="Ttulo2"/>
        <w:keepNext w:val="0"/>
        <w:numPr>
          <w:ilvl w:val="1"/>
          <w:numId w:val="12"/>
        </w:numPr>
        <w:ind w:left="851" w:hanging="851"/>
      </w:pPr>
      <w:r>
        <w:t>INFORMACIÓN CONFIDENCIAL</w:t>
      </w:r>
    </w:p>
    <w:p w14:paraId="11FF97CF" w14:textId="77777777" w:rsidR="00EF2B5D" w:rsidRDefault="00EF2B5D" w:rsidP="00EF2B5D">
      <w:pPr>
        <w:ind w:right="60"/>
      </w:pPr>
    </w:p>
    <w:p w14:paraId="156F8D02" w14:textId="77777777" w:rsidR="00EF2B5D" w:rsidRDefault="00EF2B5D" w:rsidP="00EF2B5D">
      <w:pPr>
        <w:ind w:right="60"/>
      </w:pPr>
      <w:r>
        <w:t xml:space="preserve">Aunque la información que se solicita para la presentación de propuesta puede no ser constitutiva de amparo bajo reserva o secreto protegido por la Ley, </w:t>
      </w:r>
      <w:r>
        <w:rPr>
          <w:b/>
          <w:u w:val="single"/>
        </w:rPr>
        <w:t>los proponentes serán responsables de advertir lo contrario</w:t>
      </w:r>
      <w:r>
        <w:t>; en el caso en que las propuestas tuvieren información confidencial privada o que configure secreto industrial de acuerdo con la Ley colombiana, el proponente debe indicar tal calidad dentro de la opción dada para ello en el SECOP II al momento de la elaboración de la propuesta y asimismo expresar las normas legales que le sirven de fundamento.</w:t>
      </w:r>
    </w:p>
    <w:p w14:paraId="73815107" w14:textId="77777777" w:rsidR="00EF2B5D" w:rsidRDefault="00EF2B5D" w:rsidP="00EF2B5D">
      <w:pPr>
        <w:ind w:right="60"/>
      </w:pPr>
    </w:p>
    <w:p w14:paraId="430E6870" w14:textId="77777777" w:rsidR="00EF2B5D" w:rsidRDefault="00EF2B5D" w:rsidP="00EF2B5D">
      <w:pPr>
        <w:ind w:right="60"/>
      </w:pPr>
      <w:r>
        <w:t xml:space="preserve">Conforme con el artículo 18 de la Ley 1712 de 2014 o la norma que lo modifique, aclare, adicione o sustituya, la información pública puede exceptuarse de su acceso cuando pueda causar un daño a los siguientes derechos de las personas naturales o jurídicas: el derecho a la intimidad, el derecho de toda persona a la vida, la salud o la seguridad y los secretos comerciales, industriales y profesionales. De acuerdo con lo anterior, la Entidad Estatal garantizará el derecho a la reserva legal de toda aquella información que acredita el cumplimiento de los factores de desempate de: i) mujeres víctimas de violencia intrafamiliar, ii) personas en proceso de reincorporación y/o reintegración y </w:t>
      </w:r>
      <w:proofErr w:type="spellStart"/>
      <w:r>
        <w:t>iii</w:t>
      </w:r>
      <w:proofErr w:type="spellEnd"/>
      <w:r>
        <w:t xml:space="preserve">) la población indígena, negra, afrocolombiana, raizal, palenquera, </w:t>
      </w:r>
      <w:proofErr w:type="spellStart"/>
      <w:r>
        <w:t>Rrom</w:t>
      </w:r>
      <w:proofErr w:type="spellEnd"/>
      <w:r>
        <w:t xml:space="preserve"> o gitana.</w:t>
      </w:r>
    </w:p>
    <w:p w14:paraId="1AC963EF" w14:textId="77777777" w:rsidR="00EF2B5D" w:rsidRDefault="00EF2B5D" w:rsidP="00EF2B5D">
      <w:pPr>
        <w:ind w:right="60"/>
      </w:pPr>
    </w:p>
    <w:p w14:paraId="3B0B9A19" w14:textId="77777777" w:rsidR="00EF2B5D" w:rsidRDefault="00EF2B5D" w:rsidP="00EF2B5D">
      <w:pPr>
        <w:ind w:right="60"/>
      </w:pPr>
      <w:r>
        <w:lastRenderedPageBreak/>
        <w:t xml:space="preserve">Por tanto, en la plataforma del SECOP II no se publicará para conocimiento de terceros la información relacionada con los factores de desempate de personas en procesos de reincorporación o reintegración o mujeres víctimas de violencia intrafamiliar o la población indígena, negra, afrocolombiana, raizal, palenquera, </w:t>
      </w:r>
      <w:proofErr w:type="spellStart"/>
      <w:r>
        <w:t>Rrom</w:t>
      </w:r>
      <w:proofErr w:type="spellEnd"/>
      <w:r>
        <w:t xml:space="preserve"> o gitana, puesto que su público conocimiento afecta el derecho a la intimidad de los oferentes o de sus trabajadores o socios o accionistas.</w:t>
      </w:r>
    </w:p>
    <w:p w14:paraId="4723757E" w14:textId="77777777" w:rsidR="00EF2B5D" w:rsidRDefault="00EF2B5D" w:rsidP="00EF2B5D">
      <w:pPr>
        <w:ind w:right="60"/>
      </w:pPr>
    </w:p>
    <w:p w14:paraId="365F3665" w14:textId="77777777" w:rsidR="00EF2B5D" w:rsidRDefault="00EF2B5D" w:rsidP="00EF2B5D">
      <w:pPr>
        <w:ind w:right="60"/>
      </w:pPr>
      <w:r>
        <w:t xml:space="preserve">Además, de acuerdo con el artículo 6 de Ley 1581 de 2012 o la norma que lo modifique, aclare, adicione o sustituya, se requiere que el titular de la información de estos datos sensibles, como es el caso de la mujer víctima de violencia intrafamiliar o personas en proceso de reincorporación o reintegración, o la población indígena, negra, afrocolombiana, raizal, palenquera, </w:t>
      </w:r>
      <w:proofErr w:type="spellStart"/>
      <w:r>
        <w:t>Rrom</w:t>
      </w:r>
      <w:proofErr w:type="spellEnd"/>
      <w:r>
        <w:t xml:space="preserve"> o gitana, autorice el tratamiento de datos personales como requisito para el otorgamiento del criterio de desempate.</w:t>
      </w:r>
    </w:p>
    <w:p w14:paraId="7DB68F70" w14:textId="77777777" w:rsidR="00EF2B5D" w:rsidRDefault="00EF2B5D" w:rsidP="00EF2B5D">
      <w:pPr>
        <w:ind w:right="60"/>
      </w:pPr>
    </w:p>
    <w:p w14:paraId="5FA9B837" w14:textId="765FD1BB" w:rsidR="00EF2B5D" w:rsidRDefault="0071063D" w:rsidP="00DC34C4">
      <w:pPr>
        <w:pStyle w:val="Ttulo2"/>
        <w:keepNext w:val="0"/>
        <w:numPr>
          <w:ilvl w:val="1"/>
          <w:numId w:val="12"/>
        </w:numPr>
        <w:ind w:left="851" w:hanging="851"/>
      </w:pPr>
      <w:r>
        <w:t>DEFINICIONES</w:t>
      </w:r>
    </w:p>
    <w:p w14:paraId="0D0D11FD" w14:textId="77777777" w:rsidR="00EF2B5D" w:rsidRDefault="00EF2B5D" w:rsidP="00EF2B5D"/>
    <w:p w14:paraId="4977E1FD" w14:textId="77777777" w:rsidR="00EF2B5D" w:rsidRDefault="00EF2B5D" w:rsidP="00EF2B5D">
      <w:r>
        <w:t>Las expresiones utilizadas en el presente documento deben ser entendidas con el significado que a continuación se indica. Los términos definidos son utilizados en singular y en plural de acuerdo como lo requiera el contexto en el cual son utilizados. Otros términos utilizados deben ser entendidas de acuerdo con la definición contenida en el Decreto 1082 de 2015. Los términos no definidos a continuación deben entenderse de acuerdo con su significado natural y obvio.</w:t>
      </w:r>
    </w:p>
    <w:p w14:paraId="172580E7" w14:textId="77777777" w:rsidR="00EF2B5D" w:rsidRDefault="00EF2B5D" w:rsidP="00EF2B5D"/>
    <w:tbl>
      <w:tblPr>
        <w:tblW w:w="9384" w:type="dxa"/>
        <w:tblLayout w:type="fixed"/>
        <w:tblLook w:val="0400" w:firstRow="0" w:lastRow="0" w:firstColumn="0" w:lastColumn="0" w:noHBand="0" w:noVBand="1"/>
      </w:tblPr>
      <w:tblGrid>
        <w:gridCol w:w="2117"/>
        <w:gridCol w:w="7267"/>
      </w:tblGrid>
      <w:tr w:rsidR="00EF2B5D" w14:paraId="5E213767" w14:textId="77777777" w:rsidTr="00843F49">
        <w:trPr>
          <w:trHeight w:val="20"/>
          <w:tblHeader/>
        </w:trPr>
        <w:tc>
          <w:tcPr>
            <w:tcW w:w="9384" w:type="dxa"/>
            <w:gridSpan w:val="2"/>
            <w:tcBorders>
              <w:top w:val="single" w:sz="8" w:space="0" w:color="000000"/>
              <w:left w:val="single" w:sz="8" w:space="0" w:color="000000"/>
              <w:bottom w:val="single" w:sz="8" w:space="0" w:color="000000"/>
              <w:right w:val="single" w:sz="8" w:space="0" w:color="000000"/>
            </w:tcBorders>
            <w:shd w:val="clear" w:color="auto" w:fill="D9D9D9"/>
            <w:vAlign w:val="center"/>
          </w:tcPr>
          <w:p w14:paraId="14CED72B" w14:textId="77777777" w:rsidR="00EF2B5D" w:rsidRDefault="00EF2B5D" w:rsidP="00843F49">
            <w:pPr>
              <w:spacing w:line="240" w:lineRule="auto"/>
              <w:jc w:val="center"/>
              <w:rPr>
                <w:b/>
                <w:color w:val="000000"/>
              </w:rPr>
            </w:pPr>
            <w:r>
              <w:rPr>
                <w:b/>
                <w:color w:val="000000"/>
              </w:rPr>
              <w:t xml:space="preserve">DEFINICIONES </w:t>
            </w:r>
          </w:p>
        </w:tc>
      </w:tr>
      <w:tr w:rsidR="00EF2B5D" w14:paraId="28EDAC92"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3B575FC2" w14:textId="77777777" w:rsidR="00EF2B5D" w:rsidRDefault="00EF2B5D" w:rsidP="00843F49">
            <w:pPr>
              <w:spacing w:line="240" w:lineRule="auto"/>
              <w:rPr>
                <w:b/>
                <w:color w:val="000000"/>
              </w:rPr>
            </w:pPr>
            <w:r>
              <w:rPr>
                <w:b/>
                <w:color w:val="000000"/>
              </w:rPr>
              <w:t xml:space="preserve">Adenda </w:t>
            </w:r>
          </w:p>
        </w:tc>
        <w:tc>
          <w:tcPr>
            <w:tcW w:w="7267" w:type="dxa"/>
            <w:tcBorders>
              <w:top w:val="nil"/>
              <w:left w:val="nil"/>
              <w:bottom w:val="single" w:sz="8" w:space="0" w:color="000000"/>
              <w:right w:val="single" w:sz="8" w:space="0" w:color="000000"/>
            </w:tcBorders>
            <w:vAlign w:val="center"/>
          </w:tcPr>
          <w:p w14:paraId="22015A30" w14:textId="77777777" w:rsidR="00EF2B5D" w:rsidRDefault="00EF2B5D" w:rsidP="00843F49">
            <w:pPr>
              <w:spacing w:line="240" w:lineRule="auto"/>
              <w:rPr>
                <w:color w:val="000000"/>
              </w:rPr>
            </w:pPr>
            <w:r>
              <w:rPr>
                <w:color w:val="000000"/>
              </w:rPr>
              <w:t xml:space="preserve">Es el documento por medio del cual la Entidad Estatal modifica los pliegos de condiciones, de acuerdo con lo establecido en el </w:t>
            </w:r>
            <w:r>
              <w:t>a</w:t>
            </w:r>
            <w:r>
              <w:rPr>
                <w:color w:val="000000"/>
              </w:rPr>
              <w:t xml:space="preserve">rtículo 89 de la Ley 1474 de 2011, y la jurisprudencia vigente. </w:t>
            </w:r>
          </w:p>
        </w:tc>
      </w:tr>
      <w:tr w:rsidR="00EF2B5D" w14:paraId="54BC88C5"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41021B4E" w14:textId="77777777" w:rsidR="00EF2B5D" w:rsidRDefault="00EF2B5D" w:rsidP="00843F49">
            <w:pPr>
              <w:spacing w:line="240" w:lineRule="auto"/>
              <w:rPr>
                <w:b/>
                <w:color w:val="000000"/>
              </w:rPr>
            </w:pPr>
            <w:r>
              <w:rPr>
                <w:b/>
                <w:color w:val="000000"/>
              </w:rPr>
              <w:t xml:space="preserve">Adjudicación </w:t>
            </w:r>
          </w:p>
        </w:tc>
        <w:tc>
          <w:tcPr>
            <w:tcW w:w="7267" w:type="dxa"/>
            <w:tcBorders>
              <w:top w:val="nil"/>
              <w:left w:val="nil"/>
              <w:bottom w:val="single" w:sz="8" w:space="0" w:color="000000"/>
              <w:right w:val="single" w:sz="8" w:space="0" w:color="000000"/>
            </w:tcBorders>
            <w:vAlign w:val="center"/>
          </w:tcPr>
          <w:p w14:paraId="08DE5701" w14:textId="77777777" w:rsidR="00EF2B5D" w:rsidRDefault="00EF2B5D" w:rsidP="00843F49">
            <w:pPr>
              <w:spacing w:line="240" w:lineRule="auto"/>
              <w:rPr>
                <w:color w:val="000000"/>
              </w:rPr>
            </w:pPr>
            <w:r>
              <w:rPr>
                <w:color w:val="000000"/>
              </w:rPr>
              <w:t xml:space="preserve">Es la decisión emanada de la entidad por medio de un acto administrativo que determina el Adjudicatario del proceso. </w:t>
            </w:r>
          </w:p>
        </w:tc>
      </w:tr>
      <w:tr w:rsidR="00EF2B5D" w14:paraId="07A3D1BD"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5FD7CB60" w14:textId="77777777" w:rsidR="00EF2B5D" w:rsidRDefault="00EF2B5D" w:rsidP="00843F49">
            <w:pPr>
              <w:spacing w:line="240" w:lineRule="auto"/>
              <w:rPr>
                <w:b/>
                <w:color w:val="000000"/>
              </w:rPr>
            </w:pPr>
            <w:r>
              <w:rPr>
                <w:b/>
                <w:color w:val="000000"/>
              </w:rPr>
              <w:t xml:space="preserve">Adjudicatario </w:t>
            </w:r>
          </w:p>
        </w:tc>
        <w:tc>
          <w:tcPr>
            <w:tcW w:w="7267" w:type="dxa"/>
            <w:tcBorders>
              <w:top w:val="nil"/>
              <w:left w:val="nil"/>
              <w:bottom w:val="single" w:sz="8" w:space="0" w:color="000000"/>
              <w:right w:val="single" w:sz="8" w:space="0" w:color="000000"/>
            </w:tcBorders>
            <w:vAlign w:val="center"/>
          </w:tcPr>
          <w:p w14:paraId="74A20B99" w14:textId="77777777" w:rsidR="00EF2B5D" w:rsidRDefault="00EF2B5D" w:rsidP="00843F49">
            <w:pPr>
              <w:spacing w:line="240" w:lineRule="auto"/>
              <w:rPr>
                <w:color w:val="000000"/>
              </w:rPr>
            </w:pPr>
            <w:r>
              <w:rPr>
                <w:color w:val="000000"/>
              </w:rPr>
              <w:t xml:space="preserve">Es el Proponente a quien se le adjudica el proceso, por haber presentado una Propuesta que cumple con lo requerido en el Pliego de Condiciones y se considera en relación con las demás, la propuesta más conveniente en el proceso de selección. </w:t>
            </w:r>
          </w:p>
        </w:tc>
      </w:tr>
      <w:tr w:rsidR="00EF2B5D" w14:paraId="58F89E1B"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32B1FB87" w14:textId="77777777" w:rsidR="00EF2B5D" w:rsidRDefault="00EF2B5D" w:rsidP="00843F49">
            <w:pPr>
              <w:spacing w:line="240" w:lineRule="auto"/>
              <w:rPr>
                <w:b/>
                <w:color w:val="000000"/>
              </w:rPr>
            </w:pPr>
            <w:r>
              <w:rPr>
                <w:b/>
                <w:color w:val="000000"/>
              </w:rPr>
              <w:t xml:space="preserve">Anexo </w:t>
            </w:r>
          </w:p>
        </w:tc>
        <w:tc>
          <w:tcPr>
            <w:tcW w:w="7267" w:type="dxa"/>
            <w:tcBorders>
              <w:top w:val="nil"/>
              <w:left w:val="nil"/>
              <w:bottom w:val="single" w:sz="8" w:space="0" w:color="000000"/>
              <w:right w:val="single" w:sz="8" w:space="0" w:color="000000"/>
            </w:tcBorders>
            <w:vAlign w:val="center"/>
          </w:tcPr>
          <w:p w14:paraId="710B48E6" w14:textId="77777777" w:rsidR="00EF2B5D" w:rsidRDefault="00EF2B5D" w:rsidP="00843F49">
            <w:pPr>
              <w:spacing w:line="240" w:lineRule="auto"/>
              <w:rPr>
                <w:color w:val="000000"/>
              </w:rPr>
            </w:pPr>
            <w:r>
              <w:rPr>
                <w:color w:val="000000"/>
              </w:rPr>
              <w:t xml:space="preserve">Es el conjunto de formatos y documentos que se adjuntan al Pliego de Condiciones y que hacen parte integral del mismo. </w:t>
            </w:r>
          </w:p>
        </w:tc>
      </w:tr>
      <w:tr w:rsidR="00EF2B5D" w14:paraId="3A756FD2"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54D66A11" w14:textId="77777777" w:rsidR="00EF2B5D" w:rsidRDefault="00EF2B5D" w:rsidP="00843F49">
            <w:pPr>
              <w:spacing w:line="240" w:lineRule="auto"/>
              <w:rPr>
                <w:b/>
                <w:color w:val="000000"/>
              </w:rPr>
            </w:pPr>
            <w:r>
              <w:rPr>
                <w:b/>
                <w:color w:val="000000"/>
              </w:rPr>
              <w:t xml:space="preserve">Aportes Parafiscales </w:t>
            </w:r>
          </w:p>
        </w:tc>
        <w:tc>
          <w:tcPr>
            <w:tcW w:w="7267" w:type="dxa"/>
            <w:tcBorders>
              <w:top w:val="nil"/>
              <w:left w:val="nil"/>
              <w:bottom w:val="single" w:sz="8" w:space="0" w:color="000000"/>
              <w:right w:val="single" w:sz="8" w:space="0" w:color="000000"/>
            </w:tcBorders>
            <w:vAlign w:val="center"/>
          </w:tcPr>
          <w:p w14:paraId="40AFFC78" w14:textId="77777777" w:rsidR="00EF2B5D" w:rsidRDefault="00EF2B5D" w:rsidP="00843F49">
            <w:pPr>
              <w:spacing w:line="240" w:lineRule="auto"/>
              <w:rPr>
                <w:color w:val="000000"/>
              </w:rPr>
            </w:pPr>
            <w:r>
              <w:rPr>
                <w:color w:val="000000"/>
              </w:rPr>
              <w:t xml:space="preserve">Son contribuciones parafiscales los gravámenes establecidos con carácter obligatorio por la Ley, que afectan a un determinado y único grupo social y económico y se utilizan para beneficio del propio sector. El manejo, administración y ejecución de estos recursos se hará exclusivamente en la forma dispuesta en la ley que los crea y se destinarán sólo al objeto previsto en ella, lo mismo que los rendimientos y excedentes financieros que resulten al cierre del ejercicio contable. </w:t>
            </w:r>
          </w:p>
        </w:tc>
      </w:tr>
      <w:tr w:rsidR="00EF2B5D" w14:paraId="2A5001B3"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464F982A" w14:textId="77777777" w:rsidR="00EF2B5D" w:rsidRDefault="00EF2B5D" w:rsidP="00843F49">
            <w:pPr>
              <w:spacing w:line="240" w:lineRule="auto"/>
              <w:rPr>
                <w:b/>
                <w:color w:val="000000"/>
              </w:rPr>
            </w:pPr>
            <w:r>
              <w:rPr>
                <w:b/>
                <w:color w:val="000000"/>
              </w:rPr>
              <w:lastRenderedPageBreak/>
              <w:t xml:space="preserve">Contratista </w:t>
            </w:r>
          </w:p>
        </w:tc>
        <w:tc>
          <w:tcPr>
            <w:tcW w:w="7267" w:type="dxa"/>
            <w:tcBorders>
              <w:top w:val="nil"/>
              <w:left w:val="nil"/>
              <w:bottom w:val="single" w:sz="8" w:space="0" w:color="000000"/>
              <w:right w:val="single" w:sz="8" w:space="0" w:color="000000"/>
            </w:tcBorders>
            <w:vAlign w:val="center"/>
          </w:tcPr>
          <w:p w14:paraId="768D6B08" w14:textId="77777777" w:rsidR="00EF2B5D" w:rsidRDefault="00EF2B5D" w:rsidP="00843F49">
            <w:pPr>
              <w:spacing w:line="240" w:lineRule="auto"/>
              <w:rPr>
                <w:color w:val="000000"/>
              </w:rPr>
            </w:pPr>
            <w:r>
              <w:rPr>
                <w:color w:val="000000"/>
              </w:rPr>
              <w:t xml:space="preserve">Es el Proponente que resulte adjudicatario y suscriba el contrato objeto del proceso de selección. </w:t>
            </w:r>
          </w:p>
        </w:tc>
      </w:tr>
      <w:tr w:rsidR="00EF2B5D" w14:paraId="22AED9BE"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5A5E0A2A" w14:textId="77777777" w:rsidR="00EF2B5D" w:rsidRDefault="00EF2B5D" w:rsidP="00843F49">
            <w:pPr>
              <w:spacing w:line="240" w:lineRule="auto"/>
              <w:rPr>
                <w:b/>
                <w:color w:val="000000"/>
              </w:rPr>
            </w:pPr>
            <w:r>
              <w:rPr>
                <w:b/>
                <w:color w:val="000000"/>
              </w:rPr>
              <w:t xml:space="preserve">Contrato </w:t>
            </w:r>
          </w:p>
        </w:tc>
        <w:tc>
          <w:tcPr>
            <w:tcW w:w="7267" w:type="dxa"/>
            <w:tcBorders>
              <w:top w:val="nil"/>
              <w:left w:val="nil"/>
              <w:bottom w:val="single" w:sz="8" w:space="0" w:color="000000"/>
              <w:right w:val="single" w:sz="8" w:space="0" w:color="000000"/>
            </w:tcBorders>
            <w:vAlign w:val="center"/>
          </w:tcPr>
          <w:p w14:paraId="64B8DACD" w14:textId="343977D0" w:rsidR="00EF2B5D" w:rsidRDefault="00EF2B5D" w:rsidP="00843F49">
            <w:pPr>
              <w:spacing w:line="240" w:lineRule="auto"/>
              <w:rPr>
                <w:color w:val="000000"/>
              </w:rPr>
            </w:pPr>
            <w:r>
              <w:rPr>
                <w:color w:val="000000"/>
              </w:rPr>
              <w:t xml:space="preserve">Es el negocio jurídico que se suscribe entre la </w:t>
            </w:r>
            <w:r w:rsidR="00C065CD">
              <w:rPr>
                <w:color w:val="000000"/>
              </w:rPr>
              <w:t>UAEMC</w:t>
            </w:r>
            <w:r>
              <w:rPr>
                <w:color w:val="000000"/>
              </w:rPr>
              <w:t xml:space="preserve"> y el adjudicatario, por medio del cual se imponen obligaciones a las partes.</w:t>
            </w:r>
          </w:p>
        </w:tc>
      </w:tr>
      <w:tr w:rsidR="00EF2B5D" w14:paraId="4A272B27"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28E41DC0" w14:textId="77777777" w:rsidR="00EF2B5D" w:rsidRDefault="00EF2B5D" w:rsidP="00843F49">
            <w:pPr>
              <w:spacing w:line="240" w:lineRule="auto"/>
              <w:rPr>
                <w:b/>
                <w:color w:val="000000"/>
              </w:rPr>
            </w:pPr>
            <w:r>
              <w:rPr>
                <w:b/>
                <w:color w:val="000000"/>
              </w:rPr>
              <w:t xml:space="preserve">Día(s) Calendario </w:t>
            </w:r>
          </w:p>
        </w:tc>
        <w:tc>
          <w:tcPr>
            <w:tcW w:w="7267" w:type="dxa"/>
            <w:tcBorders>
              <w:top w:val="nil"/>
              <w:left w:val="nil"/>
              <w:bottom w:val="single" w:sz="8" w:space="0" w:color="000000"/>
              <w:right w:val="single" w:sz="8" w:space="0" w:color="000000"/>
            </w:tcBorders>
            <w:vAlign w:val="center"/>
          </w:tcPr>
          <w:p w14:paraId="52560C6A" w14:textId="77777777" w:rsidR="00EF2B5D" w:rsidRDefault="00EF2B5D" w:rsidP="00843F49">
            <w:pPr>
              <w:spacing w:line="240" w:lineRule="auto"/>
              <w:rPr>
                <w:color w:val="000000"/>
              </w:rPr>
            </w:pPr>
            <w:r>
              <w:rPr>
                <w:color w:val="000000"/>
              </w:rPr>
              <w:t xml:space="preserve">Es cualquier día del calendario, sin tener en cuenta si se trata de un día hábil o no hábil. </w:t>
            </w:r>
          </w:p>
        </w:tc>
      </w:tr>
      <w:tr w:rsidR="00EF2B5D" w14:paraId="4D23E03B"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5BAF5F8B" w14:textId="77777777" w:rsidR="00EF2B5D" w:rsidRDefault="00EF2B5D" w:rsidP="00843F49">
            <w:pPr>
              <w:spacing w:line="240" w:lineRule="auto"/>
              <w:rPr>
                <w:b/>
                <w:color w:val="000000"/>
              </w:rPr>
            </w:pPr>
            <w:r>
              <w:rPr>
                <w:b/>
                <w:color w:val="000000"/>
              </w:rPr>
              <w:t xml:space="preserve">Día(s) Hábil(es) </w:t>
            </w:r>
          </w:p>
        </w:tc>
        <w:tc>
          <w:tcPr>
            <w:tcW w:w="7267" w:type="dxa"/>
            <w:tcBorders>
              <w:top w:val="nil"/>
              <w:left w:val="nil"/>
              <w:bottom w:val="single" w:sz="8" w:space="0" w:color="000000"/>
              <w:right w:val="single" w:sz="8" w:space="0" w:color="000000"/>
            </w:tcBorders>
            <w:vAlign w:val="center"/>
          </w:tcPr>
          <w:p w14:paraId="71F1324E" w14:textId="77777777" w:rsidR="00EF2B5D" w:rsidRDefault="00EF2B5D" w:rsidP="00843F49">
            <w:pPr>
              <w:spacing w:line="240" w:lineRule="auto"/>
              <w:rPr>
                <w:color w:val="000000"/>
              </w:rPr>
            </w:pPr>
            <w:r>
              <w:rPr>
                <w:color w:val="000000"/>
              </w:rPr>
              <w:t xml:space="preserve">Es cualquier día comprendido entre el lunes al viernes de cada semana, excluyendo los días feriados o vacantes determinados por la normatividad vigente en la República de Colombia </w:t>
            </w:r>
          </w:p>
        </w:tc>
      </w:tr>
      <w:tr w:rsidR="00EF2B5D" w14:paraId="5B4889BF"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745E280C" w14:textId="77777777" w:rsidR="00EF2B5D" w:rsidRDefault="00EF2B5D" w:rsidP="00843F49">
            <w:pPr>
              <w:spacing w:line="240" w:lineRule="auto"/>
              <w:rPr>
                <w:b/>
                <w:color w:val="000000"/>
              </w:rPr>
            </w:pPr>
            <w:r>
              <w:rPr>
                <w:b/>
                <w:color w:val="000000"/>
              </w:rPr>
              <w:t xml:space="preserve">Documentos del Proceso </w:t>
            </w:r>
          </w:p>
        </w:tc>
        <w:tc>
          <w:tcPr>
            <w:tcW w:w="7267" w:type="dxa"/>
            <w:tcBorders>
              <w:top w:val="nil"/>
              <w:left w:val="nil"/>
              <w:bottom w:val="single" w:sz="8" w:space="0" w:color="000000"/>
              <w:right w:val="single" w:sz="8" w:space="0" w:color="000000"/>
            </w:tcBorders>
            <w:vAlign w:val="center"/>
          </w:tcPr>
          <w:p w14:paraId="5B3354C9" w14:textId="77777777" w:rsidR="00EF2B5D" w:rsidRDefault="00EF2B5D" w:rsidP="00843F49">
            <w:pPr>
              <w:spacing w:line="240" w:lineRule="auto"/>
              <w:rPr>
                <w:color w:val="000000"/>
              </w:rPr>
            </w:pPr>
            <w:r>
              <w:rPr>
                <w:color w:val="000000"/>
              </w:rPr>
              <w:t xml:space="preserve">Son: (a) los estudios y documentos previos; (b) el aviso de convocatoria; (c) los pliegos de condiciones o la invitación; (d) las Adendas; (e) las observaciones y sus respuestas; (f) la oferta; (g) el informe de evaluación; (h) el contrato; y cualquier otro documento expedido por la Entidad Estatal durante el Proceso de Contratación. </w:t>
            </w:r>
          </w:p>
        </w:tc>
      </w:tr>
      <w:tr w:rsidR="00EF2B5D" w14:paraId="30BD6EC6"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08D93F5A" w14:textId="77777777" w:rsidR="00EF2B5D" w:rsidRDefault="00EF2B5D" w:rsidP="00843F49">
            <w:pPr>
              <w:spacing w:line="240" w:lineRule="auto"/>
              <w:rPr>
                <w:b/>
                <w:color w:val="000000"/>
              </w:rPr>
            </w:pPr>
            <w:r>
              <w:rPr>
                <w:b/>
                <w:color w:val="000000"/>
              </w:rPr>
              <w:t xml:space="preserve">Dólares de los Estados Unidos de América, o dólares, o US$ </w:t>
            </w:r>
          </w:p>
        </w:tc>
        <w:tc>
          <w:tcPr>
            <w:tcW w:w="7267" w:type="dxa"/>
            <w:tcBorders>
              <w:top w:val="nil"/>
              <w:left w:val="nil"/>
              <w:bottom w:val="single" w:sz="8" w:space="0" w:color="000000"/>
              <w:right w:val="single" w:sz="8" w:space="0" w:color="000000"/>
            </w:tcBorders>
            <w:vAlign w:val="center"/>
          </w:tcPr>
          <w:p w14:paraId="116026CE" w14:textId="77777777" w:rsidR="00EF2B5D" w:rsidRDefault="00EF2B5D" w:rsidP="00843F49">
            <w:pPr>
              <w:spacing w:line="240" w:lineRule="auto"/>
              <w:rPr>
                <w:color w:val="000000"/>
              </w:rPr>
            </w:pPr>
            <w:r>
              <w:rPr>
                <w:color w:val="000000"/>
              </w:rPr>
              <w:t xml:space="preserve">Es la moneda de curso legal en los Estados Unidos de América, la que, para todos los efectos se tomará por su valor equivalente respecto de la moneda de origen del proponente, según la tasa de cambio oficial o, en defecto de aquella, según la tasa de cambio certificada por la autoridad competente del país de origen. </w:t>
            </w:r>
          </w:p>
        </w:tc>
      </w:tr>
      <w:tr w:rsidR="00EF2B5D" w14:paraId="5B971472"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6E4F75C6" w14:textId="77777777" w:rsidR="00EF2B5D" w:rsidRDefault="00EF2B5D" w:rsidP="00843F49">
            <w:pPr>
              <w:spacing w:line="240" w:lineRule="auto"/>
              <w:rPr>
                <w:b/>
                <w:color w:val="000000"/>
              </w:rPr>
            </w:pPr>
            <w:r>
              <w:rPr>
                <w:b/>
                <w:color w:val="000000"/>
              </w:rPr>
              <w:t xml:space="preserve">Especificaciones </w:t>
            </w:r>
          </w:p>
        </w:tc>
        <w:tc>
          <w:tcPr>
            <w:tcW w:w="7267" w:type="dxa"/>
            <w:tcBorders>
              <w:top w:val="nil"/>
              <w:left w:val="nil"/>
              <w:bottom w:val="single" w:sz="8" w:space="0" w:color="000000"/>
              <w:right w:val="single" w:sz="8" w:space="0" w:color="000000"/>
            </w:tcBorders>
            <w:vAlign w:val="center"/>
          </w:tcPr>
          <w:p w14:paraId="79661095" w14:textId="77777777" w:rsidR="00EF2B5D" w:rsidRDefault="00EF2B5D" w:rsidP="00843F49">
            <w:pPr>
              <w:spacing w:line="240" w:lineRule="auto"/>
              <w:rPr>
                <w:color w:val="000000"/>
              </w:rPr>
            </w:pPr>
            <w:r>
              <w:rPr>
                <w:color w:val="000000"/>
              </w:rPr>
              <w:t>Son las características, componentes y funcionamiento de los bienes o servicios, según el caso a los que se debe ceñir el Contratista durante la ejecución, para obtener los resultados objeto del contrato.</w:t>
            </w:r>
          </w:p>
        </w:tc>
      </w:tr>
      <w:tr w:rsidR="00EF2B5D" w14:paraId="55A6582A"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4DF83E0B" w14:textId="77777777" w:rsidR="00EF2B5D" w:rsidRDefault="00EF2B5D" w:rsidP="00843F49">
            <w:pPr>
              <w:spacing w:line="240" w:lineRule="auto"/>
              <w:rPr>
                <w:b/>
                <w:color w:val="000000"/>
              </w:rPr>
            </w:pPr>
            <w:r>
              <w:rPr>
                <w:b/>
                <w:color w:val="000000"/>
              </w:rPr>
              <w:t xml:space="preserve">Etapas del Contrato </w:t>
            </w:r>
          </w:p>
        </w:tc>
        <w:tc>
          <w:tcPr>
            <w:tcW w:w="7267" w:type="dxa"/>
            <w:tcBorders>
              <w:top w:val="nil"/>
              <w:left w:val="nil"/>
              <w:bottom w:val="single" w:sz="8" w:space="0" w:color="000000"/>
              <w:right w:val="single" w:sz="8" w:space="0" w:color="000000"/>
            </w:tcBorders>
            <w:vAlign w:val="center"/>
          </w:tcPr>
          <w:p w14:paraId="477103A9" w14:textId="77777777" w:rsidR="00EF2B5D" w:rsidRDefault="00EF2B5D" w:rsidP="00843F49">
            <w:pPr>
              <w:spacing w:line="240" w:lineRule="auto"/>
              <w:rPr>
                <w:color w:val="000000"/>
              </w:rPr>
            </w:pPr>
            <w:r>
              <w:rPr>
                <w:color w:val="000000"/>
              </w:rPr>
              <w:t>Son las fases en las que se divide la ejecución del contrato, teniendo en cuenta las actividades propias de cada una de ellas las cuales pueden ser utilizadas por la Entidad para estructurar las garantías del contrato.</w:t>
            </w:r>
          </w:p>
        </w:tc>
      </w:tr>
      <w:tr w:rsidR="00EF2B5D" w14:paraId="627AC6B5"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69912111" w14:textId="77777777" w:rsidR="00EF2B5D" w:rsidRDefault="00EF2B5D" w:rsidP="00843F49">
            <w:pPr>
              <w:spacing w:line="240" w:lineRule="auto"/>
              <w:rPr>
                <w:b/>
                <w:color w:val="000000"/>
              </w:rPr>
            </w:pPr>
            <w:r>
              <w:rPr>
                <w:b/>
                <w:color w:val="000000"/>
              </w:rPr>
              <w:t xml:space="preserve">Garantía de Seriedad de la oferta </w:t>
            </w:r>
          </w:p>
        </w:tc>
        <w:tc>
          <w:tcPr>
            <w:tcW w:w="7267" w:type="dxa"/>
            <w:tcBorders>
              <w:top w:val="nil"/>
              <w:left w:val="nil"/>
              <w:bottom w:val="single" w:sz="8" w:space="0" w:color="000000"/>
              <w:right w:val="single" w:sz="8" w:space="0" w:color="000000"/>
            </w:tcBorders>
            <w:vAlign w:val="center"/>
          </w:tcPr>
          <w:p w14:paraId="7FAE72E5" w14:textId="77777777" w:rsidR="00EF2B5D" w:rsidRDefault="00EF2B5D" w:rsidP="00843F49">
            <w:pPr>
              <w:spacing w:line="240" w:lineRule="auto"/>
              <w:rPr>
                <w:color w:val="000000"/>
              </w:rPr>
            </w:pPr>
            <w:r>
              <w:rPr>
                <w:color w:val="000000"/>
              </w:rPr>
              <w:t>Es el medio utilizado para asegurar la seriedad de la oferta a favor de Entidades Estatales con ocasión de la presentación de la propuesta, de conformidad con la ley 80 de 1993, sus decretos reglamentarios y el pliego de condiciones. Podrá consistir en cualquiera de las clases de garantías a que se refiere el decreto 1082 de 2015.</w:t>
            </w:r>
          </w:p>
        </w:tc>
      </w:tr>
      <w:tr w:rsidR="00EF2B5D" w14:paraId="23C8EEF9"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1B25EFFD" w14:textId="77777777" w:rsidR="00EF2B5D" w:rsidRDefault="00EF2B5D" w:rsidP="00843F49">
            <w:pPr>
              <w:spacing w:line="240" w:lineRule="auto"/>
              <w:rPr>
                <w:b/>
                <w:color w:val="000000"/>
              </w:rPr>
            </w:pPr>
            <w:r>
              <w:rPr>
                <w:b/>
                <w:color w:val="000000"/>
              </w:rPr>
              <w:t xml:space="preserve">Interesados </w:t>
            </w:r>
          </w:p>
        </w:tc>
        <w:tc>
          <w:tcPr>
            <w:tcW w:w="7267" w:type="dxa"/>
            <w:tcBorders>
              <w:top w:val="nil"/>
              <w:left w:val="nil"/>
              <w:bottom w:val="single" w:sz="8" w:space="0" w:color="000000"/>
              <w:right w:val="single" w:sz="8" w:space="0" w:color="000000"/>
            </w:tcBorders>
            <w:vAlign w:val="center"/>
          </w:tcPr>
          <w:p w14:paraId="19747569" w14:textId="77777777" w:rsidR="00EF2B5D" w:rsidRDefault="00EF2B5D" w:rsidP="00843F49">
            <w:pPr>
              <w:spacing w:line="240" w:lineRule="auto"/>
              <w:rPr>
                <w:color w:val="000000"/>
              </w:rPr>
            </w:pPr>
            <w:r>
              <w:rPr>
                <w:color w:val="000000"/>
              </w:rPr>
              <w:t>Son las personas naturales o jurídicas o el grupo de personas jurídicas y/o naturales asociadas entre sí mediante las figuras de consorcio, unión temporal o cualquier otro tipo de asociación que actúan en el Proceso de Contratación previamente a la presentación de ofertas.</w:t>
            </w:r>
          </w:p>
        </w:tc>
      </w:tr>
      <w:tr w:rsidR="00EF2B5D" w14:paraId="03944253"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6E849847" w14:textId="77777777" w:rsidR="00EF2B5D" w:rsidRDefault="00EF2B5D" w:rsidP="00843F49">
            <w:pPr>
              <w:spacing w:line="240" w:lineRule="auto"/>
              <w:rPr>
                <w:b/>
                <w:color w:val="000000"/>
              </w:rPr>
            </w:pPr>
            <w:r>
              <w:rPr>
                <w:b/>
                <w:color w:val="000000"/>
              </w:rPr>
              <w:t>Lance</w:t>
            </w:r>
          </w:p>
        </w:tc>
        <w:tc>
          <w:tcPr>
            <w:tcW w:w="7267" w:type="dxa"/>
            <w:tcBorders>
              <w:top w:val="nil"/>
              <w:left w:val="nil"/>
              <w:bottom w:val="single" w:sz="8" w:space="0" w:color="000000"/>
              <w:right w:val="single" w:sz="8" w:space="0" w:color="000000"/>
            </w:tcBorders>
            <w:vAlign w:val="center"/>
          </w:tcPr>
          <w:p w14:paraId="6FD2C31E" w14:textId="77777777" w:rsidR="00EF2B5D" w:rsidRDefault="00EF2B5D" w:rsidP="00843F49">
            <w:pPr>
              <w:spacing w:line="240" w:lineRule="auto"/>
              <w:rPr>
                <w:color w:val="000000"/>
              </w:rPr>
            </w:pPr>
            <w:r>
              <w:rPr>
                <w:color w:val="000000"/>
              </w:rPr>
              <w:t>Cada una de las posturas que hacen los oferentes en el marco de una subasta.</w:t>
            </w:r>
          </w:p>
        </w:tc>
      </w:tr>
      <w:tr w:rsidR="00EF2B5D" w14:paraId="0258EE79"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69C11755" w14:textId="77777777" w:rsidR="00EF2B5D" w:rsidRDefault="00EF2B5D" w:rsidP="00843F49">
            <w:pPr>
              <w:spacing w:line="240" w:lineRule="auto"/>
              <w:rPr>
                <w:b/>
                <w:color w:val="000000"/>
              </w:rPr>
            </w:pPr>
            <w:r>
              <w:rPr>
                <w:b/>
                <w:color w:val="000000"/>
              </w:rPr>
              <w:t xml:space="preserve">Proceso de Selección </w:t>
            </w:r>
          </w:p>
        </w:tc>
        <w:tc>
          <w:tcPr>
            <w:tcW w:w="7267" w:type="dxa"/>
            <w:tcBorders>
              <w:top w:val="nil"/>
              <w:left w:val="nil"/>
              <w:bottom w:val="single" w:sz="8" w:space="0" w:color="000000"/>
              <w:right w:val="single" w:sz="8" w:space="0" w:color="000000"/>
            </w:tcBorders>
            <w:vAlign w:val="center"/>
          </w:tcPr>
          <w:p w14:paraId="2FA90606" w14:textId="77777777" w:rsidR="00EF2B5D" w:rsidRDefault="00EF2B5D" w:rsidP="00843F49">
            <w:pPr>
              <w:spacing w:line="240" w:lineRule="auto"/>
              <w:rPr>
                <w:color w:val="000000"/>
              </w:rPr>
            </w:pPr>
            <w:r>
              <w:rPr>
                <w:color w:val="000000"/>
              </w:rPr>
              <w:t>Es el proceso de selección objetiva que se reglamenta en el Pliego de Condiciones con el propósito de seleccionar la Propuesta que, conforme a los términos establecidos en este Pliego, resulte más favorable a los intereses de la Entidad Estatal para la celebración del Contratos, de conformidad con la normatividad vigente.</w:t>
            </w:r>
          </w:p>
        </w:tc>
      </w:tr>
      <w:tr w:rsidR="00EF2B5D" w14:paraId="59C6C1EB"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28C146B7" w14:textId="77777777" w:rsidR="00EF2B5D" w:rsidRDefault="00EF2B5D" w:rsidP="00843F49">
            <w:pPr>
              <w:spacing w:line="240" w:lineRule="auto"/>
              <w:rPr>
                <w:b/>
                <w:color w:val="000000"/>
              </w:rPr>
            </w:pPr>
            <w:r>
              <w:rPr>
                <w:b/>
                <w:color w:val="000000"/>
              </w:rPr>
              <w:t xml:space="preserve">Período Contractual </w:t>
            </w:r>
          </w:p>
        </w:tc>
        <w:tc>
          <w:tcPr>
            <w:tcW w:w="7267" w:type="dxa"/>
            <w:tcBorders>
              <w:top w:val="nil"/>
              <w:left w:val="nil"/>
              <w:bottom w:val="single" w:sz="8" w:space="0" w:color="000000"/>
              <w:right w:val="single" w:sz="8" w:space="0" w:color="000000"/>
            </w:tcBorders>
            <w:vAlign w:val="center"/>
          </w:tcPr>
          <w:p w14:paraId="19C29B26" w14:textId="77777777" w:rsidR="00EF2B5D" w:rsidRDefault="00EF2B5D" w:rsidP="00843F49">
            <w:pPr>
              <w:spacing w:line="240" w:lineRule="auto"/>
              <w:rPr>
                <w:color w:val="000000"/>
              </w:rPr>
            </w:pPr>
            <w:r>
              <w:rPr>
                <w:color w:val="000000"/>
              </w:rPr>
              <w:t>Es cada una de las fracciones temporales en las que se divide la ejecución y vigencia del Contrato.</w:t>
            </w:r>
          </w:p>
        </w:tc>
      </w:tr>
      <w:tr w:rsidR="00EF2B5D" w14:paraId="238005E9"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390A284B" w14:textId="77777777" w:rsidR="00EF2B5D" w:rsidRDefault="00EF2B5D" w:rsidP="00843F49">
            <w:pPr>
              <w:spacing w:line="240" w:lineRule="auto"/>
              <w:rPr>
                <w:b/>
                <w:color w:val="000000"/>
              </w:rPr>
            </w:pPr>
            <w:r>
              <w:rPr>
                <w:b/>
                <w:color w:val="000000"/>
              </w:rPr>
              <w:lastRenderedPageBreak/>
              <w:t xml:space="preserve">Pesos Colombianos, Pesos o $ </w:t>
            </w:r>
          </w:p>
        </w:tc>
        <w:tc>
          <w:tcPr>
            <w:tcW w:w="7267" w:type="dxa"/>
            <w:tcBorders>
              <w:top w:val="nil"/>
              <w:left w:val="nil"/>
              <w:bottom w:val="single" w:sz="8" w:space="0" w:color="000000"/>
              <w:right w:val="single" w:sz="8" w:space="0" w:color="000000"/>
            </w:tcBorders>
            <w:vAlign w:val="center"/>
          </w:tcPr>
          <w:p w14:paraId="55B88981" w14:textId="77777777" w:rsidR="00EF2B5D" w:rsidRDefault="00EF2B5D" w:rsidP="00843F49">
            <w:pPr>
              <w:spacing w:line="240" w:lineRule="auto"/>
              <w:rPr>
                <w:color w:val="000000"/>
              </w:rPr>
            </w:pPr>
            <w:r>
              <w:rPr>
                <w:color w:val="000000"/>
              </w:rPr>
              <w:t>Es la moneda de curso legal en la República de Colombia.</w:t>
            </w:r>
          </w:p>
        </w:tc>
      </w:tr>
      <w:tr w:rsidR="00EF2B5D" w14:paraId="6CDDBF63"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016F92A4" w14:textId="77777777" w:rsidR="00EF2B5D" w:rsidRDefault="00EF2B5D" w:rsidP="00843F49">
            <w:pPr>
              <w:spacing w:line="240" w:lineRule="auto"/>
              <w:rPr>
                <w:b/>
                <w:color w:val="000000"/>
              </w:rPr>
            </w:pPr>
            <w:r>
              <w:rPr>
                <w:b/>
                <w:color w:val="000000"/>
              </w:rPr>
              <w:t xml:space="preserve">Pliego de Condiciones </w:t>
            </w:r>
          </w:p>
        </w:tc>
        <w:tc>
          <w:tcPr>
            <w:tcW w:w="7267" w:type="dxa"/>
            <w:tcBorders>
              <w:top w:val="nil"/>
              <w:left w:val="nil"/>
              <w:bottom w:val="single" w:sz="8" w:space="0" w:color="000000"/>
              <w:right w:val="single" w:sz="8" w:space="0" w:color="000000"/>
            </w:tcBorders>
            <w:vAlign w:val="center"/>
          </w:tcPr>
          <w:p w14:paraId="30594CA2" w14:textId="77777777" w:rsidR="00EF2B5D" w:rsidRDefault="00EF2B5D" w:rsidP="00843F49">
            <w:pPr>
              <w:spacing w:line="240" w:lineRule="auto"/>
              <w:rPr>
                <w:color w:val="000000"/>
              </w:rPr>
            </w:pPr>
            <w:r>
              <w:rPr>
                <w:color w:val="000000"/>
              </w:rPr>
              <w:t>Es el conjunto de disposiciones que rigen el Proceso de Selección y el futuro contrato, en los que se señalan las condiciones objetivas, plazos y procedimientos dentro de los cuales los proponentes deben formular su propuesta para participar en el proceso de selección.</w:t>
            </w:r>
          </w:p>
        </w:tc>
      </w:tr>
      <w:tr w:rsidR="00EF2B5D" w14:paraId="19C46883" w14:textId="77777777" w:rsidTr="00843F49">
        <w:trPr>
          <w:trHeight w:val="20"/>
        </w:trPr>
        <w:tc>
          <w:tcPr>
            <w:tcW w:w="2117" w:type="dxa"/>
            <w:tcBorders>
              <w:top w:val="nil"/>
              <w:left w:val="single" w:sz="8" w:space="0" w:color="000000"/>
              <w:bottom w:val="nil"/>
              <w:right w:val="single" w:sz="8" w:space="0" w:color="000000"/>
            </w:tcBorders>
            <w:vAlign w:val="center"/>
          </w:tcPr>
          <w:p w14:paraId="12042AD2" w14:textId="77777777" w:rsidR="00EF2B5D" w:rsidRDefault="00EF2B5D" w:rsidP="00843F49">
            <w:pPr>
              <w:spacing w:line="240" w:lineRule="auto"/>
              <w:rPr>
                <w:b/>
                <w:color w:val="000000"/>
              </w:rPr>
            </w:pPr>
            <w:r>
              <w:rPr>
                <w:b/>
                <w:color w:val="000000"/>
              </w:rPr>
              <w:t xml:space="preserve">Primer orden de </w:t>
            </w:r>
          </w:p>
        </w:tc>
        <w:tc>
          <w:tcPr>
            <w:tcW w:w="7267" w:type="dxa"/>
            <w:vMerge w:val="restart"/>
            <w:tcBorders>
              <w:top w:val="nil"/>
              <w:left w:val="single" w:sz="8" w:space="0" w:color="000000"/>
              <w:bottom w:val="single" w:sz="8" w:space="0" w:color="000000"/>
              <w:right w:val="single" w:sz="8" w:space="0" w:color="000000"/>
            </w:tcBorders>
            <w:vAlign w:val="center"/>
          </w:tcPr>
          <w:p w14:paraId="44EB8119" w14:textId="77777777" w:rsidR="00EF2B5D" w:rsidRDefault="00EF2B5D" w:rsidP="00843F49">
            <w:pPr>
              <w:spacing w:line="240" w:lineRule="auto"/>
              <w:rPr>
                <w:color w:val="000000"/>
              </w:rPr>
            </w:pPr>
            <w:r>
              <w:rPr>
                <w:color w:val="000000"/>
              </w:rPr>
              <w:t>Es la posición que ocupa el proponente habilitado que acredita el puntaje más alto luego de efectuarse la calificación de los criterios de ponderación, previstos en el pliego de condiciones.</w:t>
            </w:r>
          </w:p>
        </w:tc>
      </w:tr>
      <w:tr w:rsidR="00EF2B5D" w14:paraId="464BD4EA"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1EEA278F" w14:textId="77777777" w:rsidR="00EF2B5D" w:rsidRDefault="00EF2B5D" w:rsidP="00843F49">
            <w:pPr>
              <w:spacing w:line="240" w:lineRule="auto"/>
              <w:rPr>
                <w:b/>
                <w:color w:val="000000"/>
              </w:rPr>
            </w:pPr>
            <w:r>
              <w:rPr>
                <w:b/>
                <w:color w:val="000000"/>
              </w:rPr>
              <w:t xml:space="preserve">elegibilidad </w:t>
            </w:r>
          </w:p>
        </w:tc>
        <w:tc>
          <w:tcPr>
            <w:tcW w:w="7267" w:type="dxa"/>
            <w:vMerge/>
            <w:tcBorders>
              <w:top w:val="nil"/>
              <w:left w:val="single" w:sz="8" w:space="0" w:color="000000"/>
              <w:bottom w:val="single" w:sz="8" w:space="0" w:color="000000"/>
              <w:right w:val="single" w:sz="8" w:space="0" w:color="000000"/>
            </w:tcBorders>
            <w:vAlign w:val="center"/>
          </w:tcPr>
          <w:p w14:paraId="17FC54BF" w14:textId="77777777" w:rsidR="00EF2B5D" w:rsidRDefault="00EF2B5D" w:rsidP="00843F49">
            <w:pPr>
              <w:widowControl w:val="0"/>
              <w:pBdr>
                <w:top w:val="nil"/>
                <w:left w:val="nil"/>
                <w:bottom w:val="nil"/>
                <w:right w:val="nil"/>
                <w:between w:val="nil"/>
              </w:pBdr>
              <w:jc w:val="left"/>
              <w:rPr>
                <w:b/>
                <w:color w:val="000000"/>
              </w:rPr>
            </w:pPr>
          </w:p>
        </w:tc>
      </w:tr>
      <w:tr w:rsidR="00EF2B5D" w14:paraId="13EBF0A6"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6633F151" w14:textId="77777777" w:rsidR="00EF2B5D" w:rsidRDefault="00EF2B5D" w:rsidP="00843F49">
            <w:pPr>
              <w:spacing w:line="240" w:lineRule="auto"/>
              <w:rPr>
                <w:b/>
                <w:color w:val="000000"/>
              </w:rPr>
            </w:pPr>
            <w:r>
              <w:rPr>
                <w:b/>
                <w:color w:val="000000"/>
              </w:rPr>
              <w:t xml:space="preserve">Proceso de contratación </w:t>
            </w:r>
          </w:p>
        </w:tc>
        <w:tc>
          <w:tcPr>
            <w:tcW w:w="7267" w:type="dxa"/>
            <w:tcBorders>
              <w:top w:val="nil"/>
              <w:left w:val="nil"/>
              <w:bottom w:val="single" w:sz="8" w:space="0" w:color="000000"/>
              <w:right w:val="single" w:sz="8" w:space="0" w:color="000000"/>
            </w:tcBorders>
            <w:vAlign w:val="center"/>
          </w:tcPr>
          <w:p w14:paraId="71BDA83C" w14:textId="77777777" w:rsidR="00EF2B5D" w:rsidRDefault="00EF2B5D" w:rsidP="00843F49">
            <w:pPr>
              <w:spacing w:line="240" w:lineRule="auto"/>
              <w:rPr>
                <w:color w:val="000000"/>
              </w:rPr>
            </w:pPr>
            <w:r>
              <w:rPr>
                <w:color w:val="000000"/>
              </w:rPr>
              <w:t>Es el conjunto de actos y actividades, y su secuencia, adelantadas por la Entidad Estatal desde la planeación hasta el vencimiento de las garantías de calidad, estabilidad y mantenimiento, o las condiciones de disposición final o recuperación ambiental de las obras o bienes o el vencimiento del plazo, lo que ocurra más tarde.</w:t>
            </w:r>
          </w:p>
        </w:tc>
      </w:tr>
      <w:tr w:rsidR="00EF2B5D" w14:paraId="4110E398"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5D7BC4AE" w14:textId="77777777" w:rsidR="00EF2B5D" w:rsidRDefault="00EF2B5D" w:rsidP="00843F49">
            <w:pPr>
              <w:spacing w:line="240" w:lineRule="auto"/>
              <w:rPr>
                <w:b/>
                <w:color w:val="000000"/>
              </w:rPr>
            </w:pPr>
            <w:r>
              <w:rPr>
                <w:b/>
                <w:color w:val="000000"/>
              </w:rPr>
              <w:t xml:space="preserve">Proponente </w:t>
            </w:r>
          </w:p>
        </w:tc>
        <w:tc>
          <w:tcPr>
            <w:tcW w:w="7267" w:type="dxa"/>
            <w:tcBorders>
              <w:top w:val="nil"/>
              <w:left w:val="nil"/>
              <w:bottom w:val="single" w:sz="8" w:space="0" w:color="000000"/>
              <w:right w:val="single" w:sz="8" w:space="0" w:color="000000"/>
            </w:tcBorders>
            <w:vAlign w:val="center"/>
          </w:tcPr>
          <w:p w14:paraId="70351FC6" w14:textId="77777777" w:rsidR="00EF2B5D" w:rsidRDefault="00EF2B5D" w:rsidP="00843F49">
            <w:pPr>
              <w:spacing w:line="240" w:lineRule="auto"/>
              <w:rPr>
                <w:color w:val="000000"/>
              </w:rPr>
            </w:pPr>
            <w:r>
              <w:rPr>
                <w:color w:val="000000"/>
              </w:rPr>
              <w:t>Es la persona natural o jurídica o el grupo de personas jurídicas y/o naturales asociadas entre sí mediante las figuras de consorcio, unión temporal o cualquier otro tipo de asociación que presenta una propuesta para participar en el proceso de contratación.</w:t>
            </w:r>
          </w:p>
        </w:tc>
      </w:tr>
      <w:tr w:rsidR="00EF2B5D" w14:paraId="79B8A1ED"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3FF81104" w14:textId="77777777" w:rsidR="00EF2B5D" w:rsidRDefault="00EF2B5D" w:rsidP="00843F49">
            <w:pPr>
              <w:spacing w:line="240" w:lineRule="auto"/>
              <w:rPr>
                <w:b/>
                <w:color w:val="000000"/>
              </w:rPr>
            </w:pPr>
            <w:r>
              <w:rPr>
                <w:b/>
                <w:color w:val="000000"/>
              </w:rPr>
              <w:t xml:space="preserve">Propuesta </w:t>
            </w:r>
          </w:p>
        </w:tc>
        <w:tc>
          <w:tcPr>
            <w:tcW w:w="7267" w:type="dxa"/>
            <w:tcBorders>
              <w:top w:val="nil"/>
              <w:left w:val="nil"/>
              <w:bottom w:val="single" w:sz="8" w:space="0" w:color="000000"/>
              <w:right w:val="single" w:sz="8" w:space="0" w:color="000000"/>
            </w:tcBorders>
            <w:vAlign w:val="center"/>
          </w:tcPr>
          <w:p w14:paraId="2AB19548" w14:textId="77777777" w:rsidR="00EF2B5D" w:rsidRDefault="00EF2B5D" w:rsidP="00843F49">
            <w:pPr>
              <w:spacing w:line="240" w:lineRule="auto"/>
              <w:rPr>
                <w:color w:val="000000"/>
              </w:rPr>
            </w:pPr>
            <w:r>
              <w:rPr>
                <w:color w:val="000000"/>
              </w:rPr>
              <w:t>Es la oferta con carácter irrevocable, presentada conforme a los requisitos establecidos en el pliego de condiciones; debidamente suscrita por quien tiene la capacidad de representar al proponente.</w:t>
            </w:r>
          </w:p>
        </w:tc>
      </w:tr>
      <w:tr w:rsidR="00EF2B5D" w14:paraId="5B606D6D"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3B28F8D5" w14:textId="77777777" w:rsidR="00EF2B5D" w:rsidRDefault="00EF2B5D" w:rsidP="00843F49">
            <w:pPr>
              <w:spacing w:line="240" w:lineRule="auto"/>
              <w:rPr>
                <w:b/>
                <w:color w:val="000000"/>
              </w:rPr>
            </w:pPr>
            <w:r>
              <w:rPr>
                <w:b/>
                <w:color w:val="000000"/>
              </w:rPr>
              <w:t xml:space="preserve">Riesgo </w:t>
            </w:r>
          </w:p>
        </w:tc>
        <w:tc>
          <w:tcPr>
            <w:tcW w:w="7267" w:type="dxa"/>
            <w:tcBorders>
              <w:top w:val="nil"/>
              <w:left w:val="nil"/>
              <w:bottom w:val="single" w:sz="8" w:space="0" w:color="000000"/>
              <w:right w:val="single" w:sz="8" w:space="0" w:color="000000"/>
            </w:tcBorders>
            <w:vAlign w:val="center"/>
          </w:tcPr>
          <w:p w14:paraId="2DDEE769" w14:textId="77777777" w:rsidR="00EF2B5D" w:rsidRDefault="00EF2B5D" w:rsidP="00843F49">
            <w:pPr>
              <w:spacing w:line="240" w:lineRule="auto"/>
              <w:rPr>
                <w:color w:val="000000"/>
              </w:rPr>
            </w:pPr>
            <w:r>
              <w:rPr>
                <w:color w:val="000000"/>
              </w:rPr>
              <w:t>Es el evento que puede generar efectos adversos y de distinta magnitud en el logro de los objetivos del Proceso de Contratación o en la ejecución de un Contrato.</w:t>
            </w:r>
          </w:p>
        </w:tc>
      </w:tr>
      <w:tr w:rsidR="00EF2B5D" w14:paraId="46BADB9A"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1D52D6FA" w14:textId="77777777" w:rsidR="00EF2B5D" w:rsidRDefault="00EF2B5D" w:rsidP="00843F49">
            <w:pPr>
              <w:spacing w:line="240" w:lineRule="auto"/>
              <w:rPr>
                <w:b/>
                <w:color w:val="000000"/>
              </w:rPr>
            </w:pPr>
            <w:r>
              <w:rPr>
                <w:b/>
                <w:color w:val="000000"/>
              </w:rPr>
              <w:t xml:space="preserve">RUP </w:t>
            </w:r>
          </w:p>
        </w:tc>
        <w:tc>
          <w:tcPr>
            <w:tcW w:w="7267" w:type="dxa"/>
            <w:tcBorders>
              <w:top w:val="nil"/>
              <w:left w:val="nil"/>
              <w:bottom w:val="single" w:sz="8" w:space="0" w:color="000000"/>
              <w:right w:val="single" w:sz="8" w:space="0" w:color="000000"/>
            </w:tcBorders>
            <w:vAlign w:val="center"/>
          </w:tcPr>
          <w:p w14:paraId="0E0DE946" w14:textId="77777777" w:rsidR="00EF2B5D" w:rsidRDefault="00EF2B5D" w:rsidP="00843F49">
            <w:pPr>
              <w:spacing w:line="240" w:lineRule="auto"/>
              <w:rPr>
                <w:color w:val="000000"/>
              </w:rPr>
            </w:pPr>
            <w:r>
              <w:rPr>
                <w:color w:val="000000"/>
              </w:rPr>
              <w:t>Es el registro único de proponentes que llevan las cámaras de comercio y en el cual los interesados en participar en Procesos de Contratación deben estar inscritos.</w:t>
            </w:r>
          </w:p>
        </w:tc>
      </w:tr>
      <w:tr w:rsidR="00EF2B5D" w14:paraId="57D0788A"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09876D21" w14:textId="77777777" w:rsidR="00EF2B5D" w:rsidRDefault="00EF2B5D" w:rsidP="00843F49">
            <w:pPr>
              <w:spacing w:line="240" w:lineRule="auto"/>
              <w:rPr>
                <w:b/>
                <w:color w:val="000000"/>
              </w:rPr>
            </w:pPr>
            <w:r>
              <w:rPr>
                <w:b/>
                <w:color w:val="000000"/>
              </w:rPr>
              <w:t xml:space="preserve">Servicios Nacionales </w:t>
            </w:r>
          </w:p>
        </w:tc>
        <w:tc>
          <w:tcPr>
            <w:tcW w:w="7267" w:type="dxa"/>
            <w:tcBorders>
              <w:top w:val="nil"/>
              <w:left w:val="nil"/>
              <w:bottom w:val="single" w:sz="8" w:space="0" w:color="000000"/>
              <w:right w:val="single" w:sz="8" w:space="0" w:color="000000"/>
            </w:tcBorders>
            <w:vAlign w:val="center"/>
          </w:tcPr>
          <w:p w14:paraId="2B7237B9" w14:textId="77777777" w:rsidR="00EF2B5D" w:rsidRDefault="00EF2B5D" w:rsidP="00843F49">
            <w:pPr>
              <w:spacing w:line="240" w:lineRule="auto"/>
              <w:rPr>
                <w:color w:val="000000"/>
              </w:rPr>
            </w:pPr>
            <w:r>
              <w:rPr>
                <w:color w:val="000000"/>
              </w:rPr>
              <w:t>Son servicios prestados por personas naturales colombianas o residentes en Colombia o por personas jurídicas constituidas de conformidad con la legislación colombiana.</w:t>
            </w:r>
          </w:p>
        </w:tc>
      </w:tr>
      <w:tr w:rsidR="00EF2B5D" w14:paraId="6D8F77CA"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73AD3925" w14:textId="77777777" w:rsidR="00EF2B5D" w:rsidRDefault="00EF2B5D" w:rsidP="00843F49">
            <w:pPr>
              <w:spacing w:line="240" w:lineRule="auto"/>
              <w:rPr>
                <w:b/>
                <w:color w:val="000000"/>
              </w:rPr>
            </w:pPr>
            <w:r>
              <w:rPr>
                <w:b/>
                <w:color w:val="000000"/>
              </w:rPr>
              <w:t xml:space="preserve">SECOP </w:t>
            </w:r>
          </w:p>
        </w:tc>
        <w:tc>
          <w:tcPr>
            <w:tcW w:w="7267" w:type="dxa"/>
            <w:tcBorders>
              <w:top w:val="nil"/>
              <w:left w:val="nil"/>
              <w:bottom w:val="single" w:sz="8" w:space="0" w:color="000000"/>
              <w:right w:val="single" w:sz="8" w:space="0" w:color="000000"/>
            </w:tcBorders>
            <w:vAlign w:val="center"/>
          </w:tcPr>
          <w:p w14:paraId="577639AD" w14:textId="77777777" w:rsidR="00EF2B5D" w:rsidRDefault="00EF2B5D" w:rsidP="00843F49">
            <w:pPr>
              <w:spacing w:line="240" w:lineRule="auto"/>
              <w:rPr>
                <w:color w:val="000000"/>
              </w:rPr>
            </w:pPr>
            <w:r>
              <w:rPr>
                <w:color w:val="000000"/>
              </w:rPr>
              <w:t>Es el Sistema Electrónico para la Contratación Pública al que se refiere el artículo 3 de la Ley 1150 de 2007.</w:t>
            </w:r>
          </w:p>
        </w:tc>
      </w:tr>
      <w:tr w:rsidR="00EF2B5D" w14:paraId="19319B3D"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33F36756" w14:textId="77777777" w:rsidR="00EF2B5D" w:rsidRDefault="00EF2B5D" w:rsidP="00843F49">
            <w:pPr>
              <w:spacing w:line="240" w:lineRule="auto"/>
              <w:rPr>
                <w:b/>
                <w:color w:val="000000"/>
              </w:rPr>
            </w:pPr>
            <w:r>
              <w:rPr>
                <w:b/>
                <w:color w:val="000000"/>
              </w:rPr>
              <w:t xml:space="preserve">SMMLV </w:t>
            </w:r>
          </w:p>
        </w:tc>
        <w:tc>
          <w:tcPr>
            <w:tcW w:w="7267" w:type="dxa"/>
            <w:tcBorders>
              <w:top w:val="nil"/>
              <w:left w:val="nil"/>
              <w:bottom w:val="single" w:sz="8" w:space="0" w:color="000000"/>
              <w:right w:val="single" w:sz="8" w:space="0" w:color="000000"/>
            </w:tcBorders>
            <w:vAlign w:val="center"/>
          </w:tcPr>
          <w:p w14:paraId="1BD017E6" w14:textId="77777777" w:rsidR="00EF2B5D" w:rsidRDefault="00EF2B5D" w:rsidP="00843F49">
            <w:pPr>
              <w:spacing w:line="240" w:lineRule="auto"/>
              <w:rPr>
                <w:color w:val="000000"/>
              </w:rPr>
            </w:pPr>
            <w:r>
              <w:rPr>
                <w:color w:val="000000"/>
              </w:rPr>
              <w:t>Es el salario mínimo mensual legal vigente en la República de Colombia.</w:t>
            </w:r>
          </w:p>
        </w:tc>
      </w:tr>
      <w:tr w:rsidR="00EF2B5D" w14:paraId="02CFC325" w14:textId="77777777" w:rsidTr="00843F49">
        <w:trPr>
          <w:trHeight w:val="20"/>
        </w:trPr>
        <w:tc>
          <w:tcPr>
            <w:tcW w:w="2117" w:type="dxa"/>
            <w:tcBorders>
              <w:top w:val="nil"/>
              <w:left w:val="single" w:sz="8" w:space="0" w:color="000000"/>
              <w:bottom w:val="single" w:sz="8" w:space="0" w:color="000000"/>
              <w:right w:val="single" w:sz="8" w:space="0" w:color="000000"/>
            </w:tcBorders>
            <w:vAlign w:val="center"/>
          </w:tcPr>
          <w:p w14:paraId="1F1D2DFB" w14:textId="77777777" w:rsidR="00EF2B5D" w:rsidRDefault="00EF2B5D" w:rsidP="00843F49">
            <w:pPr>
              <w:spacing w:line="240" w:lineRule="auto"/>
              <w:rPr>
                <w:b/>
                <w:color w:val="000000"/>
              </w:rPr>
            </w:pPr>
            <w:proofErr w:type="spellStart"/>
            <w:r>
              <w:rPr>
                <w:b/>
                <w:color w:val="000000"/>
              </w:rPr>
              <w:t>Mipyme</w:t>
            </w:r>
            <w:proofErr w:type="spellEnd"/>
            <w:r>
              <w:rPr>
                <w:b/>
                <w:color w:val="000000"/>
              </w:rPr>
              <w:t xml:space="preserve"> </w:t>
            </w:r>
          </w:p>
        </w:tc>
        <w:tc>
          <w:tcPr>
            <w:tcW w:w="7267" w:type="dxa"/>
            <w:tcBorders>
              <w:top w:val="nil"/>
              <w:left w:val="nil"/>
              <w:bottom w:val="single" w:sz="8" w:space="0" w:color="000000"/>
              <w:right w:val="single" w:sz="8" w:space="0" w:color="000000"/>
            </w:tcBorders>
            <w:vAlign w:val="center"/>
          </w:tcPr>
          <w:p w14:paraId="3D79C037" w14:textId="77777777" w:rsidR="00EF2B5D" w:rsidRDefault="00EF2B5D" w:rsidP="00843F49">
            <w:pPr>
              <w:spacing w:line="240" w:lineRule="auto"/>
              <w:rPr>
                <w:color w:val="000000"/>
              </w:rPr>
            </w:pPr>
            <w:r>
              <w:rPr>
                <w:color w:val="000000"/>
              </w:rPr>
              <w:t>Es una micro, pequeña y mediana empresa medida de acuerdo con la ley vigente aplicable.</w:t>
            </w:r>
          </w:p>
        </w:tc>
      </w:tr>
    </w:tbl>
    <w:p w14:paraId="777E08A7" w14:textId="77777777" w:rsidR="00EF2B5D" w:rsidRDefault="00EF2B5D" w:rsidP="00EF2B5D">
      <w:pPr>
        <w:ind w:right="-30"/>
      </w:pPr>
    </w:p>
    <w:p w14:paraId="391EE0F0" w14:textId="10FB9F12" w:rsidR="00EF2B5D" w:rsidRDefault="0071063D" w:rsidP="00DC34C4">
      <w:pPr>
        <w:pStyle w:val="Ttulo2"/>
        <w:keepNext w:val="0"/>
        <w:numPr>
          <w:ilvl w:val="1"/>
          <w:numId w:val="12"/>
        </w:numPr>
        <w:ind w:left="851" w:hanging="851"/>
      </w:pPr>
      <w:r>
        <w:t>NORMAS DE INTERPRETACIÓN DEL PLIEGO DE CONDICIONES</w:t>
      </w:r>
    </w:p>
    <w:p w14:paraId="70A821BD" w14:textId="77777777" w:rsidR="00EF2B5D" w:rsidRDefault="00EF2B5D" w:rsidP="00EF2B5D">
      <w:pPr>
        <w:ind w:right="-30"/>
      </w:pPr>
    </w:p>
    <w:p w14:paraId="7D234598" w14:textId="77777777" w:rsidR="00EF2B5D" w:rsidRDefault="00EF2B5D" w:rsidP="00EF2B5D">
      <w:pPr>
        <w:ind w:right="-30"/>
      </w:pPr>
      <w:r>
        <w:t xml:space="preserve">Este pliego de condiciones debe interpretarse como un todo y sus disposiciones no deben entenderse de manera separada de lo que indica su contexto general. Por lo tanto, se considera </w:t>
      </w:r>
      <w:r>
        <w:lastRenderedPageBreak/>
        <w:t>integrada la información incluida en los documentos del proceso que lo acompañan y las adendas que se expidan.</w:t>
      </w:r>
    </w:p>
    <w:p w14:paraId="4D31D4D3" w14:textId="77777777" w:rsidR="00EF2B5D" w:rsidRDefault="00EF2B5D" w:rsidP="00EF2B5D">
      <w:pPr>
        <w:ind w:right="-30"/>
      </w:pPr>
    </w:p>
    <w:p w14:paraId="0BBE7F31" w14:textId="77777777" w:rsidR="00EF2B5D" w:rsidRDefault="00EF2B5D" w:rsidP="00EF2B5D">
      <w:pPr>
        <w:ind w:right="-30"/>
      </w:pPr>
      <w:r>
        <w:t>Además, se seguirán los siguientes criterios para la interpretación y entendimiento del pliego de condiciones:</w:t>
      </w:r>
    </w:p>
    <w:p w14:paraId="26223ACB" w14:textId="77777777" w:rsidR="00EF2B5D" w:rsidRDefault="00EF2B5D" w:rsidP="00EF2B5D">
      <w:pPr>
        <w:ind w:right="-30"/>
      </w:pPr>
    </w:p>
    <w:p w14:paraId="0A3635DF" w14:textId="77777777" w:rsidR="00EF2B5D" w:rsidRDefault="00EF2B5D" w:rsidP="00DC34C4">
      <w:pPr>
        <w:numPr>
          <w:ilvl w:val="0"/>
          <w:numId w:val="8"/>
        </w:numPr>
        <w:pBdr>
          <w:top w:val="nil"/>
          <w:left w:val="nil"/>
          <w:bottom w:val="nil"/>
          <w:right w:val="nil"/>
          <w:between w:val="nil"/>
        </w:pBdr>
        <w:ind w:left="426" w:right="-30" w:hanging="426"/>
        <w:rPr>
          <w:color w:val="000000"/>
        </w:rPr>
      </w:pPr>
      <w:r>
        <w:rPr>
          <w:color w:val="000000"/>
        </w:rPr>
        <w:t>El orden de los numerales, capítulos y cláusulas del pliego de condiciones no deben interpretarse como un grado de prelación entre los mismos.</w:t>
      </w:r>
    </w:p>
    <w:p w14:paraId="5CBD615C" w14:textId="77777777" w:rsidR="00EF2B5D" w:rsidRDefault="00EF2B5D" w:rsidP="00DC34C4">
      <w:pPr>
        <w:numPr>
          <w:ilvl w:val="0"/>
          <w:numId w:val="8"/>
        </w:numPr>
        <w:pBdr>
          <w:top w:val="nil"/>
          <w:left w:val="nil"/>
          <w:bottom w:val="nil"/>
          <w:right w:val="nil"/>
          <w:between w:val="nil"/>
        </w:pBdr>
        <w:ind w:left="426" w:right="-30" w:hanging="426"/>
        <w:rPr>
          <w:color w:val="000000"/>
        </w:rPr>
      </w:pPr>
      <w:r>
        <w:rPr>
          <w:color w:val="000000"/>
        </w:rPr>
        <w:t>Los títulos de los numerales y capítulos utilizados en el pliego solo sirven como referencia y no afectan la interpretación de su contenido.</w:t>
      </w:r>
    </w:p>
    <w:p w14:paraId="684CECD9" w14:textId="77777777" w:rsidR="00EF2B5D" w:rsidRDefault="00EF2B5D" w:rsidP="00DC34C4">
      <w:pPr>
        <w:numPr>
          <w:ilvl w:val="0"/>
          <w:numId w:val="8"/>
        </w:numPr>
        <w:pBdr>
          <w:top w:val="nil"/>
          <w:left w:val="nil"/>
          <w:bottom w:val="nil"/>
          <w:right w:val="nil"/>
          <w:between w:val="nil"/>
        </w:pBdr>
        <w:ind w:left="426" w:right="-30" w:hanging="426"/>
        <w:rPr>
          <w:color w:val="000000"/>
        </w:rPr>
      </w:pPr>
      <w:r>
        <w:rPr>
          <w:color w:val="000000"/>
        </w:rPr>
        <w:t>Las palabras en singular se entenderán también en plural y viceversa, cuando lo exija el contexto; y las palabras en género femenino, se entenderán en género masculino y viceversa, cuando el contexto lo requiera.</w:t>
      </w:r>
    </w:p>
    <w:p w14:paraId="6A272648" w14:textId="77777777" w:rsidR="00EF2B5D" w:rsidRDefault="00EF2B5D" w:rsidP="00DC34C4">
      <w:pPr>
        <w:numPr>
          <w:ilvl w:val="0"/>
          <w:numId w:val="8"/>
        </w:numPr>
        <w:pBdr>
          <w:top w:val="nil"/>
          <w:left w:val="nil"/>
          <w:bottom w:val="nil"/>
          <w:right w:val="nil"/>
          <w:between w:val="nil"/>
        </w:pBdr>
        <w:ind w:left="426" w:right="-30" w:hanging="426"/>
        <w:rPr>
          <w:color w:val="000000"/>
        </w:rPr>
      </w:pPr>
      <w:r>
        <w:rPr>
          <w:color w:val="000000"/>
        </w:rPr>
        <w:t xml:space="preserve">Los plazos en días establecidos en este pliego de condiciones se entienden como hábiles, salvo que de manera expresa la ley o la entidad indique que se trata de calendario o de meses. Cuando el vencimiento de un plazo corresponda a un día no hábil para la entidad este se trasladará al día hábil siguiente. </w:t>
      </w:r>
    </w:p>
    <w:p w14:paraId="7AF4961C" w14:textId="77777777" w:rsidR="00EF2B5D" w:rsidRDefault="00EF2B5D" w:rsidP="00DC34C4">
      <w:pPr>
        <w:numPr>
          <w:ilvl w:val="0"/>
          <w:numId w:val="8"/>
        </w:numPr>
        <w:pBdr>
          <w:top w:val="nil"/>
          <w:left w:val="nil"/>
          <w:bottom w:val="nil"/>
          <w:right w:val="nil"/>
          <w:between w:val="nil"/>
        </w:pBdr>
        <w:ind w:left="426" w:right="-30" w:hanging="426"/>
        <w:rPr>
          <w:color w:val="000000"/>
        </w:rPr>
      </w:pPr>
      <w:r>
        <w:rPr>
          <w:color w:val="000000"/>
        </w:rPr>
        <w:t>Las palabras definidas en el pliego de condiciones deben entenderse en dicho sentido.</w:t>
      </w:r>
    </w:p>
    <w:p w14:paraId="142F96FA" w14:textId="77777777" w:rsidR="00EF2B5D" w:rsidRDefault="00EF2B5D" w:rsidP="00DC34C4">
      <w:pPr>
        <w:numPr>
          <w:ilvl w:val="0"/>
          <w:numId w:val="8"/>
        </w:numPr>
        <w:pBdr>
          <w:top w:val="nil"/>
          <w:left w:val="nil"/>
          <w:bottom w:val="nil"/>
          <w:right w:val="nil"/>
          <w:between w:val="nil"/>
        </w:pBdr>
        <w:ind w:left="426" w:right="-30" w:hanging="426"/>
        <w:rPr>
          <w:color w:val="000000"/>
        </w:rPr>
      </w:pPr>
      <w:r>
        <w:rPr>
          <w:color w:val="000000"/>
        </w:rPr>
        <w:t>Las referencias a normas jurídicas incluyen las disposiciones que las modifiquen, adicionen, sustituyan o complementen.</w:t>
      </w:r>
    </w:p>
    <w:p w14:paraId="00BFB064" w14:textId="77777777" w:rsidR="00EF2B5D" w:rsidRDefault="00EF2B5D" w:rsidP="00DC34C4">
      <w:pPr>
        <w:numPr>
          <w:ilvl w:val="0"/>
          <w:numId w:val="8"/>
        </w:numPr>
        <w:pBdr>
          <w:top w:val="nil"/>
          <w:left w:val="nil"/>
          <w:bottom w:val="nil"/>
          <w:right w:val="nil"/>
          <w:between w:val="nil"/>
        </w:pBdr>
        <w:ind w:left="426" w:right="-30" w:hanging="426"/>
        <w:rPr>
          <w:color w:val="000000"/>
        </w:rPr>
      </w:pPr>
      <w:r>
        <w:rPr>
          <w:color w:val="000000"/>
        </w:rPr>
        <w:t>Este pliego se interpretará, además, en lo pertinente, de conformidad con las reglas del Código Civil definidas en los artículos 1618 a 1624.</w:t>
      </w:r>
    </w:p>
    <w:p w14:paraId="54DEAF50" w14:textId="77777777" w:rsidR="00EF2B5D" w:rsidRDefault="00EF2B5D" w:rsidP="00EF2B5D">
      <w:pPr>
        <w:ind w:right="-30"/>
      </w:pPr>
    </w:p>
    <w:p w14:paraId="7DF878BC" w14:textId="5262D898" w:rsidR="00EF2B5D" w:rsidRDefault="0071063D" w:rsidP="00DC34C4">
      <w:pPr>
        <w:pStyle w:val="Ttulo2"/>
        <w:keepNext w:val="0"/>
        <w:numPr>
          <w:ilvl w:val="1"/>
          <w:numId w:val="12"/>
        </w:numPr>
        <w:ind w:left="851" w:hanging="851"/>
      </w:pPr>
      <w:r>
        <w:t xml:space="preserve">CONVOCATORIA LIMITADA A MIPYMES </w:t>
      </w:r>
      <w:r w:rsidRPr="00E8495F">
        <w:rPr>
          <w:color w:val="C00000"/>
        </w:rPr>
        <w:t>[Y MANIFESTACIÓN DE INTERÉS A PARTICIPAR]</w:t>
      </w:r>
    </w:p>
    <w:p w14:paraId="403CC673" w14:textId="77777777" w:rsidR="00EF2B5D" w:rsidRDefault="00EF2B5D" w:rsidP="00EF2B5D"/>
    <w:p w14:paraId="7695F0E2" w14:textId="77777777" w:rsidR="00EF2B5D" w:rsidRDefault="00EF2B5D" w:rsidP="00DC34C4">
      <w:pPr>
        <w:pStyle w:val="Ttulo3"/>
        <w:numPr>
          <w:ilvl w:val="2"/>
          <w:numId w:val="12"/>
        </w:numPr>
        <w:ind w:left="851" w:hanging="851"/>
      </w:pPr>
      <w:r>
        <w:t>Convocatoria limitada a Mipymes</w:t>
      </w:r>
    </w:p>
    <w:p w14:paraId="7146F666" w14:textId="77777777" w:rsidR="00EF2B5D" w:rsidRDefault="00EF2B5D" w:rsidP="00EF2B5D">
      <w:pPr>
        <w:ind w:right="60"/>
      </w:pPr>
    </w:p>
    <w:p w14:paraId="4A67A143" w14:textId="77777777" w:rsidR="00EF2B5D" w:rsidRPr="00793973" w:rsidRDefault="00EF2B5D" w:rsidP="00EF2B5D">
      <w:pPr>
        <w:ind w:right="60"/>
      </w:pPr>
      <w:r>
        <w:t xml:space="preserve">La </w:t>
      </w:r>
      <w:r w:rsidRPr="00793973">
        <w:t>convocatoria podrá ser limitada a MIPYME cuando se dé cumplimiento a lo establecido en los artículos 2.2.1.2.4.2.2 y ​​2.2.1.2.4.2.19 del Decreto 1082 de 2015.</w:t>
      </w:r>
    </w:p>
    <w:p w14:paraId="04A26B13" w14:textId="77777777" w:rsidR="00EF2B5D" w:rsidRPr="00793973" w:rsidRDefault="00EF2B5D" w:rsidP="00EF2B5D">
      <w:pPr>
        <w:ind w:right="60"/>
      </w:pPr>
    </w:p>
    <w:p w14:paraId="65F2624F" w14:textId="77777777" w:rsidR="00EF2B5D" w:rsidRPr="00793973" w:rsidRDefault="00EF2B5D" w:rsidP="00EF2B5D">
      <w:pPr>
        <w:ind w:right="60"/>
      </w:pPr>
      <w:r w:rsidRPr="00793973">
        <w:t xml:space="preserve">De acuerdo con lo previsto por el Decreto 1082 de 2015, cuando el presupuesto sea superior a ciento veinticinco mil dólares de los Estados Unidos de América (USD 125.000.00), liquidados con la tasa de cambio que para el efecto determine el Ministerio de Comercio, Industria y Turismo. Por tal razón, </w:t>
      </w:r>
      <w:r w:rsidRPr="00E8495F">
        <w:rPr>
          <w:color w:val="C00000"/>
        </w:rPr>
        <w:t>[</w:t>
      </w:r>
      <w:r w:rsidRPr="00E8495F">
        <w:rPr>
          <w:b/>
          <w:bCs/>
          <w:color w:val="C00000"/>
        </w:rPr>
        <w:t>Seleccione</w:t>
      </w:r>
      <w:r w:rsidRPr="00E8495F">
        <w:rPr>
          <w:color w:val="C00000"/>
        </w:rPr>
        <w:t xml:space="preserve">: la presente convocatoria será susceptible de ser limitada / los lotes nro. X de la presente convocatoria serán susceptibles de ser limitados] </w:t>
      </w:r>
      <w:r w:rsidRPr="00793973">
        <w:t xml:space="preserve">a la participación de Mipymes de conformidad con lo establecido en el estudio previo. </w:t>
      </w:r>
    </w:p>
    <w:p w14:paraId="1EB26990" w14:textId="77777777" w:rsidR="00EF2B5D" w:rsidRDefault="00EF2B5D" w:rsidP="00EF2B5D">
      <w:pPr>
        <w:ind w:right="60"/>
      </w:pPr>
    </w:p>
    <w:p w14:paraId="3D886C44" w14:textId="77777777" w:rsidR="00EF2B5D" w:rsidRDefault="00EF2B5D" w:rsidP="00EF2B5D">
      <w:pPr>
        <w:rPr>
          <w:color w:val="000000"/>
        </w:rPr>
      </w:pPr>
      <w:r>
        <w:lastRenderedPageBreak/>
        <w:t xml:space="preserve">Lo anterior teniendo en cuenta que el presupuesto definido para el presente proceso de selección es de </w:t>
      </w:r>
      <w:r w:rsidRPr="00E8495F">
        <w:rPr>
          <w:color w:val="C00000"/>
        </w:rPr>
        <w:t>[incluya el presupuesto del proceso]</w:t>
      </w:r>
      <w:r>
        <w:rPr>
          <w:color w:val="000000"/>
        </w:rPr>
        <w:t>.</w:t>
      </w:r>
    </w:p>
    <w:p w14:paraId="35AE33F6" w14:textId="77777777" w:rsidR="00EF2B5D" w:rsidRDefault="00EF2B5D" w:rsidP="00EF2B5D"/>
    <w:p w14:paraId="770C343D" w14:textId="77777777" w:rsidR="00EF2B5D" w:rsidRPr="00F06C7F" w:rsidRDefault="00EF2B5D" w:rsidP="00F06C7F">
      <w:pPr>
        <w:pBdr>
          <w:top w:val="nil"/>
          <w:left w:val="nil"/>
          <w:bottom w:val="nil"/>
          <w:right w:val="nil"/>
          <w:between w:val="nil"/>
        </w:pBdr>
        <w:rPr>
          <w:rFonts w:cs="Arial"/>
          <w:bCs/>
          <w:i/>
          <w:iCs/>
          <w:color w:val="0070C0"/>
        </w:rPr>
      </w:pPr>
      <w:r w:rsidRPr="00F06C7F">
        <w:rPr>
          <w:rFonts w:cs="Arial"/>
          <w:bCs/>
          <w:i/>
          <w:iCs/>
          <w:color w:val="0070C0"/>
        </w:rPr>
        <w:t>NOTA INTERNA. Este numeral aplica cuando la modalidad de selección corresponda a selección abreviada de menor cuantía. En caso que no lo sea, digite “No Aplica”</w:t>
      </w:r>
    </w:p>
    <w:p w14:paraId="2A3CFA21" w14:textId="77777777" w:rsidR="00EF2B5D" w:rsidRDefault="00EF2B5D" w:rsidP="00EF2B5D">
      <w:pPr>
        <w:ind w:right="60"/>
      </w:pPr>
    </w:p>
    <w:p w14:paraId="0054821C" w14:textId="77777777" w:rsidR="00EF2B5D" w:rsidRDefault="00EF2B5D" w:rsidP="00DC34C4">
      <w:pPr>
        <w:pStyle w:val="Ttulo3"/>
        <w:numPr>
          <w:ilvl w:val="2"/>
          <w:numId w:val="12"/>
        </w:numPr>
        <w:ind w:left="851" w:hanging="851"/>
      </w:pPr>
      <w:r>
        <w:t>Manifestación de interés a participar</w:t>
      </w:r>
    </w:p>
    <w:p w14:paraId="45100F8A" w14:textId="77777777" w:rsidR="00EF2B5D" w:rsidRDefault="00EF2B5D" w:rsidP="00EF2B5D">
      <w:pPr>
        <w:ind w:right="60"/>
      </w:pPr>
    </w:p>
    <w:p w14:paraId="1430F0C9" w14:textId="77777777" w:rsidR="00EF2B5D" w:rsidRPr="00F06C7F" w:rsidRDefault="00EF2B5D" w:rsidP="00F06C7F">
      <w:pPr>
        <w:pBdr>
          <w:top w:val="nil"/>
          <w:left w:val="nil"/>
          <w:bottom w:val="nil"/>
          <w:right w:val="nil"/>
          <w:between w:val="nil"/>
        </w:pBdr>
        <w:rPr>
          <w:rFonts w:cs="Arial"/>
          <w:bCs/>
          <w:i/>
          <w:iCs/>
          <w:color w:val="0070C0"/>
        </w:rPr>
      </w:pPr>
      <w:r w:rsidRPr="00F06C7F">
        <w:rPr>
          <w:rFonts w:cs="Arial"/>
          <w:bCs/>
          <w:i/>
          <w:iCs/>
          <w:color w:val="0070C0"/>
        </w:rPr>
        <w:t>NOTA INTERNA 1. Este numeral aplica cuando la modalidad de selección corresponda a selección abreviada de menor cuantía. En caso que no lo sea, digite “No Aplica”</w:t>
      </w:r>
    </w:p>
    <w:p w14:paraId="3492141B" w14:textId="77777777" w:rsidR="00EF2B5D" w:rsidRDefault="00EF2B5D" w:rsidP="00EF2B5D">
      <w:pPr>
        <w:ind w:right="60"/>
      </w:pPr>
    </w:p>
    <w:p w14:paraId="631A156A" w14:textId="03F1F481" w:rsidR="00EF2B5D" w:rsidRDefault="00EF2B5D" w:rsidP="00EF2B5D">
      <w:r>
        <w:t>Con el fin de conformar la lista de posibles oferentes, en atención con el artículo 2.2.1.2.1.2.20 del Decreto 1082 de 2015, los interesados en participar en este proceso de contratación y dentro del término establecido en el cronograma del proceso, deberán manifestar el interés en participar, a través del botón establecido para ello dentro de la plataforma SECOP II.</w:t>
      </w:r>
      <w:r w:rsidR="00574F26">
        <w:t xml:space="preserve"> El registro de la manifestación de interés en participar es </w:t>
      </w:r>
      <w:r w:rsidR="00574F26">
        <w:rPr>
          <w:b/>
        </w:rPr>
        <w:t xml:space="preserve">requisito indispensable </w:t>
      </w:r>
      <w:r w:rsidR="00574F26">
        <w:t>para la presentación de la respectiva oferta.</w:t>
      </w:r>
    </w:p>
    <w:p w14:paraId="7AB479E4" w14:textId="77777777" w:rsidR="00EF2B5D" w:rsidRDefault="00EF2B5D" w:rsidP="00EF2B5D"/>
    <w:p w14:paraId="2991D38A" w14:textId="167BBA2E" w:rsidR="00EF2B5D" w:rsidRPr="00206BF9" w:rsidRDefault="00EF2B5D" w:rsidP="00EF2B5D">
      <w:r w:rsidRPr="00574F26">
        <w:t xml:space="preserve">Se precisa que, de recibirse más de diez (10) manifestaciones de interés, la Entidad </w:t>
      </w:r>
      <w:r w:rsidR="00574F26" w:rsidRPr="00574F26">
        <w:rPr>
          <w:b/>
          <w:bCs/>
        </w:rPr>
        <w:t>no realizará sorteo</w:t>
      </w:r>
      <w:r w:rsidR="00574F26" w:rsidRPr="00574F26">
        <w:t>.</w:t>
      </w:r>
    </w:p>
    <w:p w14:paraId="5A6D24B5" w14:textId="77777777" w:rsidR="00EF2B5D" w:rsidRDefault="00EF2B5D" w:rsidP="00EF2B5D"/>
    <w:p w14:paraId="282609D9" w14:textId="77777777" w:rsidR="00EF2B5D" w:rsidRDefault="00EF2B5D" w:rsidP="00EF2B5D">
      <w:pPr>
        <w:rPr>
          <w:color w:val="000000"/>
        </w:rPr>
      </w:pPr>
      <w:r>
        <w:rPr>
          <w:color w:val="000000"/>
        </w:rPr>
        <w:t>Los proponentes registrados, no podrán ceder o transferir a persona alguna su derecho a presentar propuesta.</w:t>
      </w:r>
    </w:p>
    <w:p w14:paraId="08EA956F" w14:textId="77777777" w:rsidR="00EF2B5D" w:rsidRDefault="00EF2B5D" w:rsidP="00EF2B5D"/>
    <w:p w14:paraId="2A737F58" w14:textId="53A4BC59" w:rsidR="00EF2B5D" w:rsidRDefault="0071063D" w:rsidP="00DC34C4">
      <w:pPr>
        <w:pStyle w:val="Ttulo2"/>
        <w:keepNext w:val="0"/>
        <w:numPr>
          <w:ilvl w:val="1"/>
          <w:numId w:val="12"/>
        </w:numPr>
        <w:ind w:left="851" w:hanging="851"/>
      </w:pPr>
      <w:r>
        <w:t>CIERRE DEL PROCESO Y APERTURA DE OFERTAS</w:t>
      </w:r>
    </w:p>
    <w:p w14:paraId="2BE91967" w14:textId="77777777" w:rsidR="00EF2B5D" w:rsidRDefault="00EF2B5D" w:rsidP="00EF2B5D">
      <w:pPr>
        <w:ind w:right="90"/>
      </w:pPr>
    </w:p>
    <w:p w14:paraId="2880545E" w14:textId="77777777" w:rsidR="00EF2B5D" w:rsidRDefault="00EF2B5D" w:rsidP="00EF2B5D">
      <w:pPr>
        <w:ind w:right="90"/>
      </w:pPr>
      <w:r>
        <w:t>Se entienden recibidas por la entidad las ofertas que hayan sido cargadas en la plataforma del SECOP II a la fecha y hora indicada en el cronograma del proceso, después de este momento el SECOP II no permitirá recibir más propuestas por excederse del tiempo señalado en el cronograma.</w:t>
      </w:r>
    </w:p>
    <w:p w14:paraId="5E316CB8" w14:textId="77777777" w:rsidR="00EF2B5D" w:rsidRDefault="00EF2B5D" w:rsidP="00EF2B5D">
      <w:pPr>
        <w:ind w:right="90"/>
      </w:pPr>
    </w:p>
    <w:p w14:paraId="2924AF21" w14:textId="77777777" w:rsidR="00EF2B5D" w:rsidRDefault="00EF2B5D" w:rsidP="00EF2B5D">
      <w:pPr>
        <w:ind w:right="90"/>
      </w:pPr>
      <w:r>
        <w:t>Vencido el término para presentar ofertas, la entidad estatal debe realizar la apertura del (de los) sobres y publicará la lista de oferentes.</w:t>
      </w:r>
    </w:p>
    <w:p w14:paraId="7F5F481F" w14:textId="77777777" w:rsidR="00EF2B5D" w:rsidRDefault="00EF2B5D" w:rsidP="00EF2B5D">
      <w:pPr>
        <w:ind w:right="90"/>
      </w:pPr>
    </w:p>
    <w:p w14:paraId="055EC3E1" w14:textId="77777777" w:rsidR="00EF2B5D" w:rsidRDefault="00EF2B5D" w:rsidP="00EF2B5D">
      <w:pPr>
        <w:ind w:right="90"/>
      </w:pPr>
      <w:r>
        <w:t>La entidad dará a conocer las ofertas presentadas en el proceso de contratación haciendo clic en la opción “publicar ofertas” para que sean visibles a todos los proponentes, una vez se publique el informe preliminar.</w:t>
      </w:r>
    </w:p>
    <w:p w14:paraId="1F8D3089" w14:textId="77777777" w:rsidR="00EF2B5D" w:rsidRDefault="00EF2B5D" w:rsidP="00EF2B5D">
      <w:pPr>
        <w:ind w:right="90"/>
      </w:pPr>
    </w:p>
    <w:p w14:paraId="068BA82D" w14:textId="77777777" w:rsidR="00EF2B5D" w:rsidRDefault="00EF2B5D" w:rsidP="00EF2B5D">
      <w:pPr>
        <w:ind w:right="90"/>
      </w:pPr>
      <w:r>
        <w:lastRenderedPageBreak/>
        <w:t>Se darán por no presentadas todas las propuestas que no hayan sido entregadas en la plataforma dentro del plazo previsto para ello en el cronograma del proceso. No se tendrán como recibidas las ofertas allegadas por medios distintos al SECOP II o que no sean presentadas de conformidad con los Términos y Condiciones de Uso de la referida plataforma. Sin embargo, cuando haya una indisponibilidad del SECOP II, la cual ha sido confirmada por Colombia Compra Eficiente mediante certificado de indisponibilidad, la entidad estatal puede recibir ofertas en los términos y condiciones establecidos en el “Protocolo para actuar ante una indisponibilidad del SECOP II” o en el documento que Colombia Compra Eficiente determine para ello.</w:t>
      </w:r>
    </w:p>
    <w:p w14:paraId="36BF86DD" w14:textId="77777777" w:rsidR="00EF2B5D" w:rsidRDefault="00EF2B5D" w:rsidP="00EF2B5D">
      <w:pPr>
        <w:ind w:right="90"/>
      </w:pPr>
    </w:p>
    <w:p w14:paraId="14BD99EE" w14:textId="77777777" w:rsidR="00EE7260" w:rsidRDefault="00EE7260" w:rsidP="00EE7260">
      <w:pPr>
        <w:ind w:right="90"/>
      </w:pPr>
      <w:r>
        <w:t xml:space="preserve">El referido protocolo puede ser consultado en el siguiente enlace: </w:t>
      </w:r>
    </w:p>
    <w:p w14:paraId="48C6F329" w14:textId="77777777" w:rsidR="00EE7260" w:rsidRDefault="001D1BC7" w:rsidP="00EE7260">
      <w:pPr>
        <w:ind w:right="90"/>
      </w:pPr>
      <w:hyperlink r:id="rId10" w:history="1">
        <w:r w:rsidR="00EE7260" w:rsidRPr="00D647AC">
          <w:rPr>
            <w:rStyle w:val="Hipervnculo"/>
          </w:rPr>
          <w:t>https://operaciones.colombiacompra.gov.co/secop-ii/indisponibilidad-en-el-secop-</w:t>
        </w:r>
      </w:hyperlink>
    </w:p>
    <w:p w14:paraId="2664F385" w14:textId="77777777" w:rsidR="00EF2B5D" w:rsidRDefault="00EF2B5D" w:rsidP="00EF2B5D">
      <w:pPr>
        <w:ind w:right="90"/>
      </w:pPr>
    </w:p>
    <w:p w14:paraId="09DEF815" w14:textId="43E5324B" w:rsidR="00EF2B5D" w:rsidRDefault="0071063D" w:rsidP="00DC34C4">
      <w:pPr>
        <w:pStyle w:val="Ttulo2"/>
        <w:keepNext w:val="0"/>
        <w:numPr>
          <w:ilvl w:val="1"/>
          <w:numId w:val="12"/>
        </w:numPr>
        <w:ind w:left="851" w:hanging="851"/>
      </w:pPr>
      <w:r>
        <w:t>OFERTA</w:t>
      </w:r>
    </w:p>
    <w:p w14:paraId="49DFEB09" w14:textId="77777777" w:rsidR="00EF2B5D" w:rsidRDefault="00EF2B5D" w:rsidP="00EF2B5D">
      <w:pPr>
        <w:ind w:right="7562"/>
      </w:pPr>
    </w:p>
    <w:p w14:paraId="2E4894F5" w14:textId="77777777" w:rsidR="00EF2B5D" w:rsidRDefault="00EF2B5D" w:rsidP="00DC34C4">
      <w:pPr>
        <w:pStyle w:val="Ttulo3"/>
        <w:numPr>
          <w:ilvl w:val="2"/>
          <w:numId w:val="12"/>
        </w:numPr>
        <w:ind w:left="851" w:hanging="851"/>
      </w:pPr>
      <w:r>
        <w:t>Presentación</w:t>
      </w:r>
    </w:p>
    <w:p w14:paraId="318748EE" w14:textId="77777777" w:rsidR="00EF2B5D" w:rsidRDefault="00EF2B5D" w:rsidP="00EF2B5D">
      <w:pPr>
        <w:ind w:right="-30"/>
      </w:pPr>
    </w:p>
    <w:p w14:paraId="2E05A8B4" w14:textId="77777777" w:rsidR="00EF2B5D" w:rsidRDefault="00EF2B5D" w:rsidP="00EF2B5D">
      <w:pPr>
        <w:ind w:right="120"/>
      </w:pPr>
      <w:r>
        <w:t>Los proponentes deben presentar sus ofertas por medio del botón establecido para ello dentro de SECOP II, con los formatos contenidos, en la fecha establecida en el cronograma, y acompañadas de los documentos solicitados en el pliego electrónico, así como de la garantía de seriedad de la oferta.</w:t>
      </w:r>
    </w:p>
    <w:p w14:paraId="2A25DDDB" w14:textId="77777777" w:rsidR="00EF2B5D" w:rsidRDefault="00EF2B5D" w:rsidP="00EF2B5D">
      <w:pPr>
        <w:ind w:right="120"/>
      </w:pPr>
    </w:p>
    <w:p w14:paraId="09BCD395" w14:textId="77777777" w:rsidR="00EF2B5D" w:rsidRDefault="00EF2B5D" w:rsidP="00EF2B5D">
      <w:pPr>
        <w:ind w:right="120"/>
      </w:pPr>
      <w:r>
        <w:t>Las ofertas estarán vigentes por el término de noventa (90) días calendario, contados desde la fecha de presentación de ofertas establecida en el cronograma.</w:t>
      </w:r>
    </w:p>
    <w:p w14:paraId="2C0DB75F" w14:textId="77777777" w:rsidR="00EF2B5D" w:rsidRDefault="00EF2B5D" w:rsidP="00EF2B5D">
      <w:pPr>
        <w:ind w:right="120"/>
      </w:pPr>
    </w:p>
    <w:p w14:paraId="254092DA" w14:textId="77777777" w:rsidR="00EF2B5D" w:rsidRDefault="00EF2B5D" w:rsidP="00EF2B5D">
      <w:pPr>
        <w:ind w:right="120"/>
      </w:pPr>
      <w:r>
        <w:t>La presentación de la oferta implica la aceptación por parte del proponente de la distribución de riesgos efectuada en el pliego de condiciones, sus adendas y demás anexos.</w:t>
      </w:r>
    </w:p>
    <w:p w14:paraId="394E78C8" w14:textId="77777777" w:rsidR="00EF2B5D" w:rsidRDefault="00EF2B5D" w:rsidP="00EF2B5D">
      <w:pPr>
        <w:ind w:right="120"/>
      </w:pPr>
    </w:p>
    <w:p w14:paraId="127C645B" w14:textId="77777777" w:rsidR="00EF2B5D" w:rsidRDefault="00EF2B5D" w:rsidP="00EF2B5D">
      <w:pPr>
        <w:ind w:right="120"/>
      </w:pPr>
      <w:r>
        <w:t>Toda propuesta que se presente fuera del término del proceso, que sea remitida en físico, por mensaje, correo electrónico, o entregadas en lugar diferente al señalado dentro de la plataforma SECOP II será RECHAZADA.</w:t>
      </w:r>
    </w:p>
    <w:p w14:paraId="4922A66A" w14:textId="77777777" w:rsidR="00EF2B5D" w:rsidRDefault="00EF2B5D" w:rsidP="00EF2B5D">
      <w:pPr>
        <w:ind w:right="120"/>
        <w:rPr>
          <w:color w:val="000000"/>
        </w:rPr>
      </w:pPr>
    </w:p>
    <w:p w14:paraId="5157028E" w14:textId="77777777" w:rsidR="00EF2B5D" w:rsidRDefault="00EF2B5D" w:rsidP="00EF2B5D">
      <w:pPr>
        <w:ind w:right="120"/>
        <w:rPr>
          <w:color w:val="000000"/>
        </w:rPr>
      </w:pPr>
      <w:r>
        <w:rPr>
          <w:color w:val="000000"/>
        </w:rPr>
        <w:t>Sin embargo, cuando haya una indisponibilidad de la plataforma SECOP II, la cual ha sido confirmada por Colombia Compra Eficiente mediante certificado de indisponibilidad, la entidad estatal puede recibir ofertas en los términos y condiciones establecidos en el “Protocolo para actuar ante una indisponibilidad del SECOP II” o en el documento que Colombia Compra Eficiente determine para ello.</w:t>
      </w:r>
    </w:p>
    <w:p w14:paraId="1209D775" w14:textId="77777777" w:rsidR="00EF2B5D" w:rsidRDefault="00EF2B5D" w:rsidP="00EF2B5D">
      <w:pPr>
        <w:ind w:right="120"/>
        <w:rPr>
          <w:color w:val="000000"/>
        </w:rPr>
      </w:pPr>
    </w:p>
    <w:p w14:paraId="1E9B5D20" w14:textId="5767E634" w:rsidR="00EF2B5D" w:rsidRDefault="00EF2B5D" w:rsidP="00DC34C4">
      <w:pPr>
        <w:pStyle w:val="Ttulo3"/>
        <w:numPr>
          <w:ilvl w:val="2"/>
          <w:numId w:val="12"/>
        </w:numPr>
        <w:ind w:left="851" w:hanging="851"/>
      </w:pPr>
      <w:r>
        <w:t>Correcciones aritméticas</w:t>
      </w:r>
    </w:p>
    <w:p w14:paraId="49506240" w14:textId="77777777" w:rsidR="00EF2B5D" w:rsidRDefault="00EF2B5D" w:rsidP="00EF2B5D">
      <w:pPr>
        <w:ind w:right="90"/>
      </w:pPr>
    </w:p>
    <w:p w14:paraId="2BD611FC" w14:textId="77777777" w:rsidR="00EF2B5D" w:rsidRDefault="00EF2B5D" w:rsidP="00EF2B5D">
      <w:pPr>
        <w:ind w:right="90"/>
      </w:pPr>
      <w:bookmarkStart w:id="10" w:name="_heading=h.7sq3g33hnw1a" w:colFirst="0" w:colLast="0"/>
      <w:bookmarkEnd w:id="10"/>
      <w:r>
        <w:lastRenderedPageBreak/>
        <w:t>La Entidad solo efectuará correcciones aritméticas originadas por:</w:t>
      </w:r>
    </w:p>
    <w:p w14:paraId="4E7CB721" w14:textId="77777777" w:rsidR="00EF2B5D" w:rsidRDefault="00EF2B5D" w:rsidP="00EF2B5D">
      <w:pPr>
        <w:ind w:right="90"/>
      </w:pPr>
    </w:p>
    <w:p w14:paraId="218A4AE0" w14:textId="397E24D7" w:rsidR="00EF2B5D" w:rsidRDefault="00EF2B5D" w:rsidP="00DC34C4">
      <w:pPr>
        <w:numPr>
          <w:ilvl w:val="2"/>
          <w:numId w:val="2"/>
        </w:numPr>
        <w:pBdr>
          <w:top w:val="nil"/>
          <w:left w:val="nil"/>
          <w:bottom w:val="nil"/>
          <w:right w:val="nil"/>
          <w:between w:val="nil"/>
        </w:pBdr>
        <w:ind w:left="426" w:right="90" w:hanging="426"/>
        <w:rPr>
          <w:color w:val="000000"/>
        </w:rPr>
      </w:pPr>
      <w:r>
        <w:rPr>
          <w:color w:val="000000"/>
        </w:rPr>
        <w:t xml:space="preserve">Realizar las correcciones aritméticas siempre que estas versen sobre la aplicación de fórmulas matemáticas o financieras que arrojen un resultado que no corresponde a la operación matemática planteada, es decir, que se trate de operaciones exactas y ciertas en las cuales no haya interpretaciones sobre el ofrecimiento del proponente. La </w:t>
      </w:r>
      <w:r w:rsidR="00C065CD">
        <w:rPr>
          <w:color w:val="000000"/>
        </w:rPr>
        <w:t>UAEMC</w:t>
      </w:r>
      <w:r>
        <w:rPr>
          <w:color w:val="000000"/>
        </w:rPr>
        <w:t xml:space="preserve"> no podrá adicionar o modificar la información que el proponente presentó en su propuesta económica.</w:t>
      </w:r>
    </w:p>
    <w:p w14:paraId="51673DB4" w14:textId="77777777" w:rsidR="00EF2B5D" w:rsidRDefault="00EF2B5D" w:rsidP="00DC34C4">
      <w:pPr>
        <w:numPr>
          <w:ilvl w:val="2"/>
          <w:numId w:val="2"/>
        </w:numPr>
        <w:pBdr>
          <w:top w:val="nil"/>
          <w:left w:val="nil"/>
          <w:bottom w:val="nil"/>
          <w:right w:val="nil"/>
          <w:between w:val="nil"/>
        </w:pBdr>
        <w:ind w:left="426" w:right="90" w:hanging="426"/>
        <w:rPr>
          <w:color w:val="000000"/>
        </w:rPr>
      </w:pPr>
      <w:r>
        <w:rPr>
          <w:color w:val="000000"/>
        </w:rPr>
        <w:t xml:space="preserve">El ajuste al peso ya sea por exceso o por defecto de los precios unitarios contenidos en la propuesta económica y del valor del IVA, así: cuando la fracción decimal del peso sea igual o superior a punto cinco (0.5) se aproximará por exceso al número entero siguiente del peso y cuando la fracción decimal del peso sea inferior a punto cinco (0.5) se aproximará por defecto al número entero. </w:t>
      </w:r>
    </w:p>
    <w:p w14:paraId="00B7036D" w14:textId="77777777" w:rsidR="00EF2B5D" w:rsidRDefault="00EF2B5D" w:rsidP="00EF2B5D">
      <w:pPr>
        <w:ind w:right="90"/>
      </w:pPr>
    </w:p>
    <w:p w14:paraId="080B28B2" w14:textId="77777777" w:rsidR="00EF2B5D" w:rsidRDefault="00EF2B5D" w:rsidP="00EF2B5D">
      <w:pPr>
        <w:ind w:right="90"/>
      </w:pPr>
      <w:r>
        <w:t xml:space="preserve">La Entidad evaluará el valor de la propuesta una vez corregida la oferta económica. </w:t>
      </w:r>
    </w:p>
    <w:p w14:paraId="2F24DBB4" w14:textId="77777777" w:rsidR="00EF2B5D" w:rsidRDefault="00EF2B5D" w:rsidP="00EF2B5D">
      <w:pPr>
        <w:ind w:right="120"/>
        <w:rPr>
          <w:color w:val="000000"/>
        </w:rPr>
      </w:pPr>
    </w:p>
    <w:p w14:paraId="340D5FB8" w14:textId="77777777" w:rsidR="00EF2B5D" w:rsidRDefault="00EF2B5D" w:rsidP="00DC34C4">
      <w:pPr>
        <w:pStyle w:val="Ttulo3"/>
        <w:numPr>
          <w:ilvl w:val="2"/>
          <w:numId w:val="12"/>
        </w:numPr>
        <w:ind w:left="851" w:hanging="851"/>
      </w:pPr>
      <w:r>
        <w:t xml:space="preserve">Precio artificialmente bajo </w:t>
      </w:r>
    </w:p>
    <w:p w14:paraId="001DF771" w14:textId="77777777" w:rsidR="00EF2B5D" w:rsidRDefault="00EF2B5D" w:rsidP="00EF2B5D">
      <w:pPr>
        <w:ind w:right="120"/>
        <w:rPr>
          <w:color w:val="000000"/>
        </w:rPr>
      </w:pPr>
    </w:p>
    <w:p w14:paraId="18AA60DD" w14:textId="4C4CDFBB" w:rsidR="00EF2B5D" w:rsidRDefault="00EF2B5D" w:rsidP="00EF2B5D">
      <w:pPr>
        <w:ind w:right="120"/>
        <w:rPr>
          <w:color w:val="000000"/>
        </w:rPr>
      </w:pPr>
      <w:bookmarkStart w:id="11" w:name="_heading=h.dpo0fpy7t15" w:colFirst="0" w:colLast="0"/>
      <w:bookmarkEnd w:id="11"/>
      <w:r>
        <w:rPr>
          <w:color w:val="000000"/>
        </w:rPr>
        <w:t xml:space="preserve">En el evento en que la </w:t>
      </w:r>
      <w:r w:rsidR="00C065CD">
        <w:rPr>
          <w:color w:val="000000"/>
        </w:rPr>
        <w:t>UAEMC</w:t>
      </w:r>
      <w:r>
        <w:rPr>
          <w:color w:val="000000"/>
        </w:rPr>
        <w:t xml:space="preserve"> evidencie ofertas presunta o artificialmente bajas dará aplicación a la Guía para el manejo de ofertas artificialmente bajas en Procesos de Contratación, en concordancia con lo establecido en al artículo 2.2.1.1.2.2.4 del Decreto 1082 de 2015.</w:t>
      </w:r>
    </w:p>
    <w:p w14:paraId="5B52BFF6" w14:textId="77777777" w:rsidR="00EF2B5D" w:rsidRDefault="00EF2B5D" w:rsidP="00EF2B5D">
      <w:pPr>
        <w:ind w:right="120"/>
        <w:rPr>
          <w:color w:val="000000"/>
        </w:rPr>
      </w:pPr>
    </w:p>
    <w:p w14:paraId="109B1D60" w14:textId="30CF8F08" w:rsidR="00EF2B5D" w:rsidRDefault="00EF2B5D" w:rsidP="00DC34C4">
      <w:pPr>
        <w:pStyle w:val="Ttulo3"/>
        <w:numPr>
          <w:ilvl w:val="2"/>
          <w:numId w:val="12"/>
        </w:numPr>
        <w:ind w:left="851" w:hanging="851"/>
      </w:pPr>
      <w:bookmarkStart w:id="12" w:name="_heading=h.tio7sbfx05b4" w:colFirst="0" w:colLast="0"/>
      <w:bookmarkEnd w:id="12"/>
      <w:r>
        <w:t>Retiro</w:t>
      </w:r>
    </w:p>
    <w:p w14:paraId="29C2A772" w14:textId="77777777" w:rsidR="00EF2B5D" w:rsidRDefault="00EF2B5D" w:rsidP="00EF2B5D">
      <w:pPr>
        <w:ind w:right="90"/>
      </w:pPr>
    </w:p>
    <w:p w14:paraId="2B9E8367" w14:textId="77777777" w:rsidR="00EF2B5D" w:rsidRDefault="00EF2B5D" w:rsidP="00EF2B5D">
      <w:pPr>
        <w:ind w:right="90"/>
      </w:pPr>
      <w:r>
        <w:t>Los proponentes que opten por entregar su oferta antes de la fecha de cierre del proceso deberán seguir el proceso indicado en la “Guía rápida para la presentación de ofertas en SECOP II”. Una vez se cumpla la fecha de cierre del proceso, la plataforma del SECOP II bloquea a los proveedores la opción del retiro de ofertas.</w:t>
      </w:r>
    </w:p>
    <w:p w14:paraId="7B23C8BA" w14:textId="77777777" w:rsidR="00EF2B5D" w:rsidRDefault="00EF2B5D" w:rsidP="00EF2B5D">
      <w:pPr>
        <w:ind w:right="120"/>
        <w:rPr>
          <w:color w:val="000000"/>
        </w:rPr>
      </w:pPr>
      <w:bookmarkStart w:id="13" w:name="_heading=h.tzh0ts64h44v" w:colFirst="0" w:colLast="0"/>
      <w:bookmarkEnd w:id="13"/>
    </w:p>
    <w:p w14:paraId="26D87E42" w14:textId="77777777" w:rsidR="00EF2B5D" w:rsidRDefault="00EF2B5D" w:rsidP="00DC34C4">
      <w:pPr>
        <w:pStyle w:val="Ttulo3"/>
        <w:numPr>
          <w:ilvl w:val="2"/>
          <w:numId w:val="12"/>
        </w:numPr>
        <w:ind w:left="851" w:hanging="851"/>
      </w:pPr>
      <w:r>
        <w:t xml:space="preserve">Protocolo de indisponibilidad </w:t>
      </w:r>
    </w:p>
    <w:p w14:paraId="5A707906" w14:textId="77777777" w:rsidR="00EF2B5D" w:rsidRDefault="00EF2B5D" w:rsidP="00EF2B5D">
      <w:pPr>
        <w:ind w:right="120"/>
        <w:rPr>
          <w:color w:val="000000"/>
        </w:rPr>
      </w:pPr>
    </w:p>
    <w:p w14:paraId="27DFCD39" w14:textId="15CDA414" w:rsidR="00EF2B5D" w:rsidRDefault="00EF2B5D" w:rsidP="00EF2B5D">
      <w:pPr>
        <w:ind w:right="120"/>
        <w:rPr>
          <w:color w:val="000000"/>
        </w:rPr>
      </w:pPr>
      <w:r>
        <w:rPr>
          <w:color w:val="000000"/>
        </w:rPr>
        <w:t xml:space="preserve">Cuando se presente indisponibilidad en la plataforma SECOP II, la cual haya sido confirmada por Colombia Compra Eficiente mediante la expedición del correspondiente certificado, la </w:t>
      </w:r>
      <w:r w:rsidR="00C065CD">
        <w:rPr>
          <w:color w:val="000000"/>
        </w:rPr>
        <w:t>UAEMC</w:t>
      </w:r>
      <w:r>
        <w:rPr>
          <w:color w:val="000000"/>
        </w:rPr>
        <w:t xml:space="preserve"> podrá recibir ofertas en los términos y condiciones establecidos en el “Protocolo para actuar ante una indisponibilidad del SECOP II” o en el documento que Colombia Compra Eficiente determine para ello. El protocolo puede ser consultado en la página web de la Agencia Nacional de Contratación Pública – Colombia Compra Eficiente.</w:t>
      </w:r>
    </w:p>
    <w:p w14:paraId="4FD0C8B7" w14:textId="77777777" w:rsidR="00EF2B5D" w:rsidRDefault="00EF2B5D" w:rsidP="00EF2B5D">
      <w:pPr>
        <w:ind w:right="120"/>
        <w:rPr>
          <w:color w:val="000000"/>
        </w:rPr>
      </w:pPr>
    </w:p>
    <w:p w14:paraId="17B0F97D" w14:textId="1ACF31B7" w:rsidR="00EF2B5D" w:rsidRDefault="00EF2B5D" w:rsidP="00EF2B5D">
      <w:pPr>
        <w:ind w:right="120"/>
        <w:rPr>
          <w:color w:val="000000"/>
        </w:rPr>
      </w:pPr>
      <w:r>
        <w:rPr>
          <w:color w:val="000000"/>
        </w:rPr>
        <w:lastRenderedPageBreak/>
        <w:t xml:space="preserve">En caso de indisponibilidad general o particular, el proponente deberá informar tal situación, previo agotamiento de la etapa que se surta, al siguiente correo </w:t>
      </w:r>
      <w:r w:rsidR="005137CE">
        <w:rPr>
          <w:color w:val="000000"/>
        </w:rPr>
        <w:t xml:space="preserve">electrónico: </w:t>
      </w:r>
      <w:hyperlink r:id="rId11" w:history="1">
        <w:r w:rsidR="005137CE" w:rsidRPr="00D647AC">
          <w:rPr>
            <w:rStyle w:val="Hipervnculo"/>
          </w:rPr>
          <w:t>contratos@migracioncolombia.gov.co</w:t>
        </w:r>
      </w:hyperlink>
    </w:p>
    <w:p w14:paraId="7B5FDE30" w14:textId="77777777" w:rsidR="00EF2B5D" w:rsidRDefault="00EF2B5D" w:rsidP="00EF2B5D">
      <w:pPr>
        <w:ind w:right="120"/>
        <w:rPr>
          <w:color w:val="000000"/>
        </w:rPr>
      </w:pPr>
    </w:p>
    <w:p w14:paraId="27DBD6F8" w14:textId="01B7997F" w:rsidR="00EF2B5D" w:rsidRDefault="00843F49" w:rsidP="00DC34C4">
      <w:pPr>
        <w:pStyle w:val="Ttulo2"/>
        <w:keepNext w:val="0"/>
        <w:numPr>
          <w:ilvl w:val="1"/>
          <w:numId w:val="12"/>
        </w:numPr>
        <w:ind w:left="851" w:hanging="851"/>
      </w:pPr>
      <w:r>
        <w:t>REQUISITOS HABILITANTES</w:t>
      </w:r>
    </w:p>
    <w:p w14:paraId="37D2A191" w14:textId="77777777" w:rsidR="00EF2B5D" w:rsidRDefault="00EF2B5D" w:rsidP="00EF2B5D">
      <w:pPr>
        <w:ind w:right="191"/>
      </w:pPr>
    </w:p>
    <w:p w14:paraId="268CF75E" w14:textId="77777777" w:rsidR="00EF2B5D" w:rsidRDefault="00EF2B5D" w:rsidP="00EF2B5D">
      <w:pPr>
        <w:ind w:right="-30"/>
      </w:pPr>
      <w:r>
        <w:t>Los proponentes deberán acreditar el cumplimiento de todos y cada uno de los requisitos jurídicos, técnicos y financieros establecidos en el Estudio previo, los cuales, de conformidad con lo dispuesto en la Ley 1150 de 2007, el Decreto 1082 de 2015 y demás normas concordantes, serán objeto de verificación para la participación en el proceso de selección y no otorgarán puntaje.</w:t>
      </w:r>
    </w:p>
    <w:p w14:paraId="08FA93C3" w14:textId="77777777" w:rsidR="00EF2B5D" w:rsidRDefault="00EF2B5D" w:rsidP="00EF2B5D">
      <w:pPr>
        <w:ind w:right="-30"/>
      </w:pPr>
    </w:p>
    <w:p w14:paraId="100365AD" w14:textId="77777777" w:rsidR="00EF2B5D" w:rsidRDefault="00EF2B5D" w:rsidP="00EF2B5D">
      <w:pPr>
        <w:ind w:right="-30"/>
      </w:pPr>
      <w:r>
        <w:t>El Comité evaluador verificará las ofertas de conformidad con los requisitos jurídicos, técnicos y financieros establecidos en el estudio previo.</w:t>
      </w:r>
    </w:p>
    <w:p w14:paraId="6D605C69" w14:textId="77777777" w:rsidR="00EF2B5D" w:rsidRDefault="00EF2B5D" w:rsidP="00EF2B5D">
      <w:pPr>
        <w:ind w:right="-30"/>
      </w:pPr>
    </w:p>
    <w:p w14:paraId="24C61BB0" w14:textId="77777777" w:rsidR="00EF2B5D" w:rsidRDefault="00EF2B5D" w:rsidP="00EF2B5D">
      <w:pPr>
        <w:ind w:right="-30"/>
      </w:pPr>
      <w:r>
        <w:t>Los proponentes pueden subsanar la forma como acreditaron los requisitos habilitantes dentro del término establecido en el cronograma del proceso, la ley o en el término otorgado para tal fin por la Entidad en el requerimiento que se haga al proponente. Únicamente se consideran habilitados aquellos proponentes que cumplan los requisitos habilitantes, de acuerdo con lo previsto en el presente pliego de condiciones. En el caso de proponentes plurales, los requisitos habilitantes serán acreditados de acuerdo con las reglas del pliego de condiciones.</w:t>
      </w:r>
    </w:p>
    <w:p w14:paraId="5F20E602" w14:textId="77777777" w:rsidR="00EF2B5D" w:rsidRDefault="00EF2B5D" w:rsidP="00EF2B5D">
      <w:pPr>
        <w:ind w:right="90"/>
      </w:pPr>
    </w:p>
    <w:p w14:paraId="0C24C7FA" w14:textId="0F7CA817" w:rsidR="00EF2B5D" w:rsidRDefault="00EF2B5D" w:rsidP="00EF2B5D">
      <w:pPr>
        <w:ind w:right="90"/>
      </w:pPr>
      <w:r>
        <w:rPr>
          <w:color w:val="000000"/>
        </w:rPr>
        <w:t xml:space="preserve">La </w:t>
      </w:r>
      <w:r w:rsidR="00C065CD">
        <w:rPr>
          <w:color w:val="000000"/>
        </w:rPr>
        <w:t>UAEMC</w:t>
      </w:r>
      <w:r>
        <w:rPr>
          <w:color w:val="000000"/>
        </w:rPr>
        <w:t xml:space="preserve"> </w:t>
      </w:r>
      <w:r>
        <w:t>publicará el informe de cumplimiento de requisitos habilitantes, según cronograma del proceso.</w:t>
      </w:r>
    </w:p>
    <w:p w14:paraId="7A186ED9" w14:textId="77777777" w:rsidR="00EF2B5D" w:rsidRDefault="00EF2B5D" w:rsidP="00EF2B5D"/>
    <w:p w14:paraId="16618168" w14:textId="1B567E02" w:rsidR="00EF2B5D" w:rsidRDefault="00843F49" w:rsidP="00DC34C4">
      <w:pPr>
        <w:pStyle w:val="Ttulo2"/>
        <w:keepNext w:val="0"/>
        <w:numPr>
          <w:ilvl w:val="1"/>
          <w:numId w:val="12"/>
        </w:numPr>
        <w:ind w:left="851" w:hanging="851"/>
      </w:pPr>
      <w:r>
        <w:t>EVALUACIÓN DE LOS CRITERIOS DE ASIGNACIÓN DE PUNTAJE</w:t>
      </w:r>
    </w:p>
    <w:p w14:paraId="35AE2EF3" w14:textId="77777777" w:rsidR="00EF2B5D" w:rsidRDefault="00EF2B5D" w:rsidP="00EF2B5D">
      <w:pPr>
        <w:ind w:right="-30"/>
      </w:pPr>
    </w:p>
    <w:p w14:paraId="764BF4A5" w14:textId="77777777" w:rsidR="00EF2B5D" w:rsidRDefault="00EF2B5D" w:rsidP="00EF2B5D">
      <w:pPr>
        <w:rPr>
          <w:color w:val="000000"/>
        </w:rPr>
      </w:pPr>
      <w:r>
        <w:rPr>
          <w:color w:val="000000"/>
        </w:rPr>
        <w:t xml:space="preserve">Para la ponderación de las </w:t>
      </w:r>
      <w:r>
        <w:rPr>
          <w:b/>
          <w:color w:val="000000"/>
        </w:rPr>
        <w:t>PROPUESTAS HABILITADAS</w:t>
      </w:r>
      <w:r>
        <w:rPr>
          <w:color w:val="000000"/>
        </w:rPr>
        <w:t>, el Comité evaluador hará uso de los criterios y asignación de puntajes establecidos en el estudio previo.</w:t>
      </w:r>
    </w:p>
    <w:p w14:paraId="5AF54C02" w14:textId="77777777" w:rsidR="00EF2B5D" w:rsidRDefault="00EF2B5D" w:rsidP="00EF2B5D">
      <w:pPr>
        <w:rPr>
          <w:color w:val="000000"/>
        </w:rPr>
      </w:pPr>
    </w:p>
    <w:p w14:paraId="0F71E27D" w14:textId="77777777" w:rsidR="00EF2B5D" w:rsidRDefault="00EF2B5D" w:rsidP="00EF2B5D">
      <w:pPr>
        <w:rPr>
          <w:color w:val="000000"/>
        </w:rPr>
      </w:pPr>
      <w:r>
        <w:rPr>
          <w:color w:val="000000"/>
        </w:rPr>
        <w:t>Los documentos que acrediten la asignación de puntaje podrán ser objeto de aclaración, sin que conlleven a mejorar las circunstancias que se acreditaron a la fecha de cierre del proceso. Estos no podrán ser subsanables.</w:t>
      </w:r>
    </w:p>
    <w:p w14:paraId="1F0A8F42" w14:textId="77777777" w:rsidR="00EF2B5D" w:rsidRDefault="00EF2B5D" w:rsidP="00EF2B5D">
      <w:pPr>
        <w:ind w:right="120"/>
        <w:rPr>
          <w:color w:val="000000"/>
        </w:rPr>
      </w:pPr>
    </w:p>
    <w:p w14:paraId="73269324" w14:textId="79720EEA" w:rsidR="00EF2B5D" w:rsidRDefault="00843F49" w:rsidP="00DC34C4">
      <w:pPr>
        <w:pStyle w:val="Ttulo2"/>
        <w:keepNext w:val="0"/>
        <w:numPr>
          <w:ilvl w:val="1"/>
          <w:numId w:val="12"/>
        </w:numPr>
        <w:ind w:left="851" w:hanging="851"/>
      </w:pPr>
      <w:r>
        <w:t xml:space="preserve">OFERTAS ALTERNATIVAS </w:t>
      </w:r>
    </w:p>
    <w:p w14:paraId="29E7C6D0" w14:textId="77777777" w:rsidR="00EF2B5D" w:rsidRDefault="00EF2B5D" w:rsidP="00EF2B5D">
      <w:pPr>
        <w:ind w:right="-30"/>
      </w:pPr>
    </w:p>
    <w:p w14:paraId="3BC2E16B" w14:textId="77777777" w:rsidR="00EF2B5D" w:rsidRDefault="00EF2B5D" w:rsidP="00EF2B5D">
      <w:pPr>
        <w:ind w:right="90"/>
      </w:pPr>
      <w:r>
        <w:t>De acuerdo con lo establecido en el numeral 6 del artículo 30 de la Ley 80 de 1993, los proponentes pueden presentar alternativas técnicas y económicas, siempre que no signifiquen condicionamientos para la adjudicación del contrato.</w:t>
      </w:r>
    </w:p>
    <w:p w14:paraId="3E4EA721" w14:textId="77777777" w:rsidR="00EF2B5D" w:rsidRDefault="00EF2B5D" w:rsidP="00EF2B5D">
      <w:pPr>
        <w:ind w:right="90"/>
      </w:pPr>
    </w:p>
    <w:p w14:paraId="6A6E6DFC" w14:textId="77777777" w:rsidR="00EF2B5D" w:rsidRDefault="00EF2B5D" w:rsidP="00EF2B5D">
      <w:pPr>
        <w:ind w:right="90"/>
      </w:pPr>
      <w:r>
        <w:t>Cuando se presente una alternativa, el proponente debe adjuntar toda la información necesaria para su análisis y una descripción detallada, como el procedimiento de construcción, características de los materiales y equipos, y análisis de costos.</w:t>
      </w:r>
    </w:p>
    <w:p w14:paraId="297E43F3" w14:textId="77777777" w:rsidR="00EF2B5D" w:rsidRDefault="00EF2B5D" w:rsidP="00EF2B5D">
      <w:pPr>
        <w:ind w:right="90"/>
      </w:pPr>
    </w:p>
    <w:p w14:paraId="6C018E3A" w14:textId="5D1FC52E" w:rsidR="00EF2B5D" w:rsidRDefault="00EF2B5D" w:rsidP="00EF2B5D">
      <w:pPr>
        <w:ind w:right="90"/>
      </w:pPr>
      <w:r>
        <w:t xml:space="preserve">Todos los costos necesarios para desarrollar la alternativa, incluso los de transferencia tecnológica, deben estar incluidos en los respectivos ítems de la oferta. Sólo serán consideradas las ofertas alternativas del proponente favorecido con la adjudicación del contrato y la selección de la alternativa será potestad de la </w:t>
      </w:r>
      <w:r w:rsidR="00C065CD">
        <w:t>UAEMC</w:t>
      </w:r>
      <w:r>
        <w:t>.</w:t>
      </w:r>
    </w:p>
    <w:p w14:paraId="12BA35D1" w14:textId="77777777" w:rsidR="00EF2B5D" w:rsidRDefault="00EF2B5D" w:rsidP="00EF2B5D">
      <w:pPr>
        <w:ind w:right="90"/>
      </w:pPr>
    </w:p>
    <w:p w14:paraId="0CAF5863" w14:textId="62815311" w:rsidR="00EF2B5D" w:rsidRDefault="00843F49" w:rsidP="00DC34C4">
      <w:pPr>
        <w:pStyle w:val="Ttulo2"/>
        <w:keepNext w:val="0"/>
        <w:numPr>
          <w:ilvl w:val="1"/>
          <w:numId w:val="12"/>
        </w:numPr>
        <w:ind w:left="851" w:hanging="851"/>
      </w:pPr>
      <w:r>
        <w:t>TACHADURAS Y/O ENMENDADURAS</w:t>
      </w:r>
    </w:p>
    <w:p w14:paraId="3DDE900D" w14:textId="77777777" w:rsidR="00EF2B5D" w:rsidRDefault="00EF2B5D" w:rsidP="00EF2B5D">
      <w:pPr>
        <w:ind w:right="-30"/>
      </w:pPr>
    </w:p>
    <w:p w14:paraId="1E492482" w14:textId="77777777" w:rsidR="00EF2B5D" w:rsidRDefault="00EF2B5D" w:rsidP="00EF2B5D">
      <w:pPr>
        <w:ind w:right="-30"/>
      </w:pPr>
      <w:r>
        <w:t>Las tachaduras y/o enmendaduras sobre alguno de los documentos que acreditan los requisitos habilitantes o los factores de evaluación de la oferta, deberán estar salvados con la firma de quien suscribe el correspondiente documento al pie de la misma y con una nota al margen donde manifieste clara y expresamente la corrección realizada.</w:t>
      </w:r>
    </w:p>
    <w:p w14:paraId="770A4446" w14:textId="77777777" w:rsidR="00EF2B5D" w:rsidRDefault="00EF2B5D" w:rsidP="00EF2B5D">
      <w:pPr>
        <w:ind w:right="90"/>
        <w:rPr>
          <w:b/>
        </w:rPr>
      </w:pPr>
    </w:p>
    <w:p w14:paraId="5FEA2258" w14:textId="60661F7E" w:rsidR="00EF2B5D" w:rsidRDefault="00843F49" w:rsidP="00DC34C4">
      <w:pPr>
        <w:pStyle w:val="Ttulo2"/>
        <w:keepNext w:val="0"/>
        <w:numPr>
          <w:ilvl w:val="1"/>
          <w:numId w:val="12"/>
        </w:numPr>
        <w:ind w:left="851" w:hanging="851"/>
      </w:pPr>
      <w:r>
        <w:t>DE LA SUBASTA INVERSA</w:t>
      </w:r>
    </w:p>
    <w:p w14:paraId="34347FFB" w14:textId="77777777" w:rsidR="00EF2B5D" w:rsidRPr="00123DA2" w:rsidRDefault="00EF2B5D" w:rsidP="00EF2B5D">
      <w:pPr>
        <w:ind w:right="90"/>
        <w:rPr>
          <w:rFonts w:cs="Arial"/>
          <w:bCs/>
          <w:i/>
          <w:iCs/>
          <w:color w:val="0070C0"/>
        </w:rPr>
      </w:pPr>
    </w:p>
    <w:p w14:paraId="5D1E9D3E" w14:textId="77777777" w:rsidR="00EF2B5D" w:rsidRPr="00123DA2" w:rsidRDefault="00EF2B5D" w:rsidP="00EF2B5D">
      <w:pPr>
        <w:ind w:right="90"/>
        <w:rPr>
          <w:rFonts w:cs="Arial"/>
          <w:bCs/>
          <w:i/>
          <w:iCs/>
          <w:color w:val="0070C0"/>
        </w:rPr>
      </w:pPr>
      <w:r w:rsidRPr="00123DA2">
        <w:rPr>
          <w:rFonts w:cs="Arial"/>
          <w:bCs/>
          <w:i/>
          <w:iCs/>
          <w:color w:val="0070C0"/>
        </w:rPr>
        <w:t>NOTA INTERNA. Cuando el proceso se estructure bajo la modalidad de Subasta Inversa se debe incluir en el pliego de condiciones la información que se relaciona a continuación. Si el proceso no corresponde a esta modalidad, se elimina el contenido del numeral y se digita “No aplica”. Se debe prestar especial atención a la numeración cuando se incluya la información o cuando se elimine.</w:t>
      </w:r>
    </w:p>
    <w:p w14:paraId="7A83444A" w14:textId="77777777" w:rsidR="00EF2B5D" w:rsidRDefault="00EF2B5D" w:rsidP="00EF2B5D">
      <w:pPr>
        <w:ind w:right="90"/>
      </w:pPr>
    </w:p>
    <w:p w14:paraId="18DFB2E3" w14:textId="77777777" w:rsidR="00EF2B5D" w:rsidRDefault="00EF2B5D" w:rsidP="00EF2B5D">
      <w:pPr>
        <w:ind w:right="90"/>
        <w:rPr>
          <w:color w:val="000000"/>
        </w:rPr>
      </w:pPr>
      <w:r>
        <w:rPr>
          <w:color w:val="000000"/>
        </w:rPr>
        <w:t>Los proponentes que hayan cumplido con los requisitos habilitantes relativos a la capacidad jurídica, condiciones de experiencia, capacidad financiera y organizacional con ocasión de los requerimientos exigidos en el Estudio previo, anexo técnico, Pliego de condiciones y adendas generadas como parte del proceso de selección, y, por tanto, hayan sido habilitados, pasarán a la segunda fase denominada SUBASTA INVERSA. En esta fase se dará apertura a la propuesta económica que se encuentra en el sobre nro. 2.</w:t>
      </w:r>
    </w:p>
    <w:p w14:paraId="58DE666F" w14:textId="77777777" w:rsidR="00EF2B5D" w:rsidRDefault="00EF2B5D" w:rsidP="00EF2B5D">
      <w:pPr>
        <w:ind w:right="90"/>
        <w:rPr>
          <w:color w:val="000000"/>
        </w:rPr>
      </w:pPr>
    </w:p>
    <w:p w14:paraId="670CA476" w14:textId="77777777" w:rsidR="00EF2B5D" w:rsidRDefault="00EF2B5D" w:rsidP="00EF2B5D">
      <w:pPr>
        <w:ind w:right="90"/>
        <w:rPr>
          <w:color w:val="000000"/>
        </w:rPr>
      </w:pPr>
      <w:r>
        <w:rPr>
          <w:color w:val="000000"/>
        </w:rPr>
        <w:t xml:space="preserve">En la fecha y hora establecida en el cronograma de la plataforma SECOP II, la entidad efectuará la validación de las ofertas que se encuentran habilitadas. Para este momento, los oferentes ya debieron haber surtido todas las subsanaciones requeridas por la Entidad. Por ello, una vez se haya efectuado la apertura del sobre económico, </w:t>
      </w:r>
      <w:r>
        <w:rPr>
          <w:b/>
          <w:color w:val="000000"/>
        </w:rPr>
        <w:t>no se recibirán subsanaciones adicionales</w:t>
      </w:r>
      <w:r>
        <w:rPr>
          <w:color w:val="000000"/>
        </w:rPr>
        <w:t>.</w:t>
      </w:r>
    </w:p>
    <w:p w14:paraId="6B0E3189" w14:textId="77777777" w:rsidR="00EF2B5D" w:rsidRDefault="00EF2B5D" w:rsidP="00EF2B5D">
      <w:pPr>
        <w:ind w:right="90"/>
        <w:rPr>
          <w:color w:val="000000"/>
        </w:rPr>
      </w:pPr>
    </w:p>
    <w:p w14:paraId="1A8F397A" w14:textId="7017E109" w:rsidR="00EF2B5D" w:rsidRDefault="00EF2B5D" w:rsidP="00EF2B5D">
      <w:pPr>
        <w:ind w:right="90"/>
        <w:rPr>
          <w:color w:val="000000"/>
        </w:rPr>
      </w:pPr>
      <w:r>
        <w:rPr>
          <w:color w:val="000000"/>
        </w:rPr>
        <w:t xml:space="preserve">Así las cosas, la </w:t>
      </w:r>
      <w:r w:rsidR="00C065CD">
        <w:rPr>
          <w:color w:val="000000"/>
        </w:rPr>
        <w:t>UAEMC</w:t>
      </w:r>
      <w:r>
        <w:rPr>
          <w:color w:val="000000"/>
        </w:rPr>
        <w:t xml:space="preserve"> seleccionará las ofertas habilitadas y procederá con la apertura del sobre económico.</w:t>
      </w:r>
    </w:p>
    <w:p w14:paraId="039CB598" w14:textId="77777777" w:rsidR="00EF2B5D" w:rsidRDefault="00EF2B5D" w:rsidP="00EF2B5D">
      <w:pPr>
        <w:ind w:right="90"/>
        <w:rPr>
          <w:color w:val="000000"/>
        </w:rPr>
      </w:pPr>
    </w:p>
    <w:p w14:paraId="2DEF4B81" w14:textId="77777777" w:rsidR="00EF2B5D" w:rsidRPr="005756E8" w:rsidRDefault="00EF2B5D" w:rsidP="00EF2B5D">
      <w:pPr>
        <w:ind w:right="60"/>
      </w:pPr>
      <w:r w:rsidRPr="005756E8">
        <w:t>Aperturados los sobres económicos, el comité evaluador evaluará las ofertas económicas presentadas, de conformidad con lo previsto en el pliego de condiciones.</w:t>
      </w:r>
    </w:p>
    <w:p w14:paraId="5030720C" w14:textId="77777777" w:rsidR="00EF2B5D" w:rsidRDefault="00EF2B5D" w:rsidP="00EF2B5D">
      <w:pPr>
        <w:ind w:right="90"/>
      </w:pPr>
    </w:p>
    <w:p w14:paraId="6D941C8F" w14:textId="77777777" w:rsidR="00EF2B5D" w:rsidRDefault="00EF2B5D" w:rsidP="00EF2B5D">
      <w:pPr>
        <w:ind w:right="90"/>
      </w:pPr>
      <w:r>
        <w:t>Si se presenta un (1) solo oferente al proceso y este resulta habilitado, la entidad adjudicará el contrato a dicho proponente, siempre que el valor de la oferta sea igual o inferior al valor del presupuesto oficial del proceso. Caso en el cual no habrá lugar a evento de subasta inversa y la entidad aplicará lo dispuesto en el artículo 2.2.1.1.2.2.6. del Decreto 1082 de 2015.</w:t>
      </w:r>
    </w:p>
    <w:p w14:paraId="661890DC" w14:textId="77777777" w:rsidR="00EF2B5D" w:rsidRDefault="00EF2B5D" w:rsidP="00EF2B5D">
      <w:pPr>
        <w:ind w:right="90"/>
        <w:rPr>
          <w:color w:val="000000"/>
        </w:rPr>
      </w:pPr>
    </w:p>
    <w:p w14:paraId="577A2BF3" w14:textId="77777777" w:rsidR="00EF2B5D" w:rsidRDefault="00EF2B5D" w:rsidP="00DC34C4">
      <w:pPr>
        <w:pStyle w:val="Ttulo3"/>
        <w:numPr>
          <w:ilvl w:val="2"/>
          <w:numId w:val="12"/>
        </w:numPr>
        <w:ind w:left="851" w:hanging="851"/>
      </w:pPr>
      <w:r>
        <w:t>Subasta inversa electrónica</w:t>
      </w:r>
    </w:p>
    <w:p w14:paraId="04F4F5ED" w14:textId="77777777" w:rsidR="00EF2B5D" w:rsidRDefault="00EF2B5D" w:rsidP="00EF2B5D">
      <w:pPr>
        <w:ind w:right="90"/>
        <w:rPr>
          <w:color w:val="000000"/>
        </w:rPr>
      </w:pPr>
    </w:p>
    <w:p w14:paraId="448B471C" w14:textId="77777777" w:rsidR="00EF2B5D" w:rsidRDefault="00EF2B5D" w:rsidP="00EF2B5D">
      <w:r>
        <w:t>Se podrá realizar la subasta inversa siempre que haya, como mínimo, dos oferentes habilitados cuya oferta cumpla con la ficha técnica.</w:t>
      </w:r>
    </w:p>
    <w:p w14:paraId="2E33D7FD" w14:textId="77777777" w:rsidR="00EF2B5D" w:rsidRDefault="00EF2B5D" w:rsidP="00EF2B5D"/>
    <w:p w14:paraId="15F1BE15" w14:textId="0FCD3B4C" w:rsidR="00EF2B5D" w:rsidRDefault="00EF2B5D" w:rsidP="00EF2B5D">
      <w:pPr>
        <w:rPr>
          <w:color w:val="000000"/>
        </w:rPr>
      </w:pPr>
      <w:r>
        <w:t xml:space="preserve">De conformidad con lo señalado en el </w:t>
      </w:r>
      <w:r>
        <w:rPr>
          <w:color w:val="000000"/>
        </w:rPr>
        <w:t xml:space="preserve">artículo 2.2.1.2.1.2.5. del Decreto 1082 de 2015, la </w:t>
      </w:r>
      <w:r w:rsidR="00C065CD">
        <w:rPr>
          <w:color w:val="000000"/>
        </w:rPr>
        <w:t>UAEMC</w:t>
      </w:r>
      <w:r>
        <w:rPr>
          <w:color w:val="000000"/>
        </w:rPr>
        <w:t xml:space="preserve"> procede a establecer las reglas para llevar a cabo la subasta inversa:</w:t>
      </w:r>
    </w:p>
    <w:p w14:paraId="7615F5CE" w14:textId="77777777" w:rsidR="00EF2B5D" w:rsidRDefault="00EF2B5D" w:rsidP="00EF2B5D">
      <w:pPr>
        <w:ind w:left="426" w:right="90"/>
        <w:rPr>
          <w:color w:val="000000"/>
        </w:rPr>
      </w:pPr>
    </w:p>
    <w:p w14:paraId="4383D94B" w14:textId="77777777" w:rsidR="00EF2B5D" w:rsidRPr="00123DA2" w:rsidRDefault="00EF2B5D" w:rsidP="00DC34C4">
      <w:pPr>
        <w:numPr>
          <w:ilvl w:val="2"/>
          <w:numId w:val="8"/>
        </w:numPr>
        <w:pBdr>
          <w:top w:val="nil"/>
          <w:left w:val="nil"/>
          <w:bottom w:val="nil"/>
          <w:right w:val="nil"/>
          <w:between w:val="nil"/>
        </w:pBdr>
        <w:ind w:left="426" w:right="90" w:hanging="426"/>
        <w:rPr>
          <w:rFonts w:cs="Arial"/>
          <w:bCs/>
          <w:i/>
          <w:iCs/>
          <w:color w:val="0070C0"/>
        </w:rPr>
      </w:pPr>
      <w:r>
        <w:rPr>
          <w:color w:val="000000"/>
        </w:rPr>
        <w:t xml:space="preserve">La subasta se llevará a cabo de manera </w:t>
      </w:r>
      <w:r w:rsidRPr="00E8495F">
        <w:rPr>
          <w:color w:val="C00000"/>
        </w:rPr>
        <w:t>[</w:t>
      </w:r>
      <w:r w:rsidRPr="00E8495F">
        <w:rPr>
          <w:b/>
          <w:bCs/>
          <w:color w:val="C00000"/>
        </w:rPr>
        <w:t>Seleccione</w:t>
      </w:r>
      <w:r w:rsidRPr="00E8495F">
        <w:rPr>
          <w:color w:val="C00000"/>
        </w:rPr>
        <w:t>: electrónica / presencial]</w:t>
      </w:r>
      <w:r>
        <w:rPr>
          <w:color w:val="000000"/>
        </w:rPr>
        <w:t xml:space="preserve"> “</w:t>
      </w:r>
      <w:r>
        <w:rPr>
          <w:i/>
          <w:color w:val="000000"/>
        </w:rPr>
        <w:t>(…) La Entidad Estatal puede escoger si adelanta la subasta inversa electrónica o presencialmente. Si la Entidad Estatal decide adelantar la subasta electrónicamente debe fijar en los pliegos de condiciones el sistema que utilizará para la subasta inversa</w:t>
      </w:r>
      <w:r>
        <w:rPr>
          <w:color w:val="000000"/>
        </w:rPr>
        <w:t xml:space="preserve">.” </w:t>
      </w:r>
      <w:r w:rsidRPr="00123DA2">
        <w:rPr>
          <w:rFonts w:cs="Arial"/>
          <w:bCs/>
          <w:i/>
          <w:iCs/>
          <w:color w:val="0070C0"/>
        </w:rPr>
        <w:t>NOTA INTERNA. La entidad puede escoger también la subasta presencial y, en ese sentido, deberá modificar las reglas que a continuación se establecen ya que, por defecto, se fijan las reglas para la subasta electrónica.</w:t>
      </w:r>
    </w:p>
    <w:p w14:paraId="3433FD05" w14:textId="6B0B8B81" w:rsidR="00EF2B5D" w:rsidRDefault="00EF2B5D" w:rsidP="00DC34C4">
      <w:pPr>
        <w:numPr>
          <w:ilvl w:val="2"/>
          <w:numId w:val="8"/>
        </w:numPr>
        <w:pBdr>
          <w:top w:val="nil"/>
          <w:left w:val="nil"/>
          <w:bottom w:val="nil"/>
          <w:right w:val="nil"/>
          <w:between w:val="nil"/>
        </w:pBdr>
        <w:ind w:left="426" w:right="90" w:hanging="426"/>
        <w:rPr>
          <w:color w:val="000000"/>
        </w:rPr>
      </w:pPr>
      <w:r>
        <w:rPr>
          <w:color w:val="000000"/>
        </w:rPr>
        <w:t xml:space="preserve">El procedimiento que empleará la entidad para llevar a cabo la subasta inversa electrónica será el fijado en la Guía de Selección Abreviada con Subasta del SECOP II (Parte 2) y siguiendo los pasos concernientes a esta etapa en la página de Colombia Compra Eficiente que pueden ser consultados o en la “GUÍA SOBRE EL USO DEL SECOP II – MODALIDADES DE CONTRATACIÓN: Selección Abreviada con Subasta Inversa (Subasta Electrónica)” la cual puede ser consultada en el siguiente enlace: </w:t>
      </w:r>
      <w:hyperlink r:id="rId12">
        <w:r>
          <w:rPr>
            <w:color w:val="0000FF"/>
            <w:u w:val="single"/>
          </w:rPr>
          <w:t>https://formacionvirtual.colombiacompra.gov.co/pluginfile.php/9287/mod_folder/content/0/PDF/M%C3%B3dulo%204/Unidad%201/cce-sec-gi-25guiasecopii_eemcseleccionabreviadasubastainversa_subastaelectronica20-04-2022_0.pdf</w:t>
        </w:r>
      </w:hyperlink>
      <w:r>
        <w:rPr>
          <w:color w:val="000000"/>
        </w:rPr>
        <w:t xml:space="preserve"> </w:t>
      </w:r>
    </w:p>
    <w:p w14:paraId="497E7C70" w14:textId="77777777" w:rsidR="00EF2B5D" w:rsidRDefault="00EF2B5D" w:rsidP="00DC34C4">
      <w:pPr>
        <w:numPr>
          <w:ilvl w:val="2"/>
          <w:numId w:val="8"/>
        </w:numPr>
        <w:pBdr>
          <w:top w:val="nil"/>
          <w:left w:val="nil"/>
          <w:bottom w:val="nil"/>
          <w:right w:val="nil"/>
          <w:between w:val="nil"/>
        </w:pBdr>
        <w:ind w:left="426" w:right="90" w:hanging="426"/>
        <w:rPr>
          <w:color w:val="000000"/>
        </w:rPr>
      </w:pPr>
      <w:r>
        <w:rPr>
          <w:color w:val="000000"/>
        </w:rPr>
        <w:t>El inicio de la subasta inversa electrónica se entiende realizado al momento de la fecha y hora establecida en el pliego electrónico de SECOP II, no obstante, la subasta NO dará inicio de manera inmediata con la apertura del sobre, teniendo en cuenta que el comité evaluador deberá verificar las ofertas presentadas y efectuar la verificación de cada uno de los ítems y del valor total ofertado.</w:t>
      </w:r>
    </w:p>
    <w:p w14:paraId="1478A371" w14:textId="77777777" w:rsidR="00EF2B5D" w:rsidRDefault="00EF2B5D" w:rsidP="00DC34C4">
      <w:pPr>
        <w:numPr>
          <w:ilvl w:val="2"/>
          <w:numId w:val="8"/>
        </w:numPr>
        <w:pBdr>
          <w:top w:val="nil"/>
          <w:left w:val="nil"/>
          <w:bottom w:val="nil"/>
          <w:right w:val="nil"/>
          <w:between w:val="nil"/>
        </w:pBdr>
        <w:ind w:left="426" w:right="90" w:hanging="426"/>
        <w:rPr>
          <w:color w:val="000000"/>
        </w:rPr>
      </w:pPr>
      <w:r>
        <w:rPr>
          <w:color w:val="000000"/>
        </w:rPr>
        <w:lastRenderedPageBreak/>
        <w:t>Una vez el comité evaluador defina las ofertas que cumplen económicamente, se realizará la configuración de la subasta con la selección de los oferentes que CUMPLEN con las condiciones económicas.</w:t>
      </w:r>
    </w:p>
    <w:p w14:paraId="7322D5DA" w14:textId="77777777" w:rsidR="00EF2B5D" w:rsidRDefault="00EF2B5D" w:rsidP="00EF2B5D">
      <w:pPr>
        <w:ind w:right="90"/>
      </w:pPr>
    </w:p>
    <w:p w14:paraId="1A73080E" w14:textId="77777777" w:rsidR="00EF2B5D" w:rsidRDefault="00EF2B5D" w:rsidP="00DC34C4">
      <w:pPr>
        <w:pStyle w:val="Ttulo3"/>
        <w:numPr>
          <w:ilvl w:val="2"/>
          <w:numId w:val="12"/>
        </w:numPr>
        <w:ind w:left="851" w:hanging="851"/>
      </w:pPr>
      <w:r>
        <w:t>Margen mínimo de mejora</w:t>
      </w:r>
    </w:p>
    <w:p w14:paraId="4A08BE4D" w14:textId="77777777" w:rsidR="00EF2B5D" w:rsidRDefault="00EF2B5D" w:rsidP="00EF2B5D">
      <w:pPr>
        <w:ind w:right="90"/>
      </w:pPr>
    </w:p>
    <w:p w14:paraId="4C79792C" w14:textId="77777777" w:rsidR="00EF2B5D" w:rsidRDefault="00EF2B5D" w:rsidP="00EF2B5D">
      <w:pPr>
        <w:ind w:right="90"/>
      </w:pPr>
      <w:r>
        <w:t xml:space="preserve">Acorde con lo dispuesto en el literal c) del numeral 1 del artículo 2.2.1.2.1.2.2. del Decreto 1082 de 2015, el margen de mejora de oferta en el presente proceso de selección será del </w:t>
      </w:r>
      <w:r w:rsidRPr="00E8495F">
        <w:rPr>
          <w:color w:val="C00000"/>
        </w:rPr>
        <w:t xml:space="preserve">[Incluir margen. Ejemplo: dos ciento (2 %)] </w:t>
      </w:r>
      <w:r>
        <w:t>por debajo del valor total ofertado.</w:t>
      </w:r>
    </w:p>
    <w:p w14:paraId="6B2A67B8" w14:textId="77777777" w:rsidR="00EF2B5D" w:rsidRDefault="00EF2B5D" w:rsidP="00EF2B5D">
      <w:pPr>
        <w:ind w:right="90"/>
      </w:pPr>
    </w:p>
    <w:p w14:paraId="54D9FCC5" w14:textId="77777777" w:rsidR="00EF2B5D" w:rsidRDefault="00EF2B5D" w:rsidP="00EF2B5D">
      <w:pPr>
        <w:ind w:right="90"/>
      </w:pPr>
      <w:r>
        <w:rPr>
          <w:b/>
        </w:rPr>
        <w:t>NOTA</w:t>
      </w:r>
      <w:r>
        <w:t>. El menor valor ofertado será comunicado por la Entidad en la sección de mensajes dispuesta en la plataforma SECOP II durante el evento de subasta inversa electrónica</w:t>
      </w:r>
    </w:p>
    <w:p w14:paraId="49C30661" w14:textId="77777777" w:rsidR="00EF2B5D" w:rsidRDefault="00EF2B5D" w:rsidP="00EF2B5D">
      <w:pPr>
        <w:ind w:right="90"/>
      </w:pPr>
    </w:p>
    <w:p w14:paraId="59D897E5" w14:textId="77777777" w:rsidR="00EF2B5D" w:rsidRDefault="00EF2B5D" w:rsidP="00DC34C4">
      <w:pPr>
        <w:pStyle w:val="Ttulo3"/>
        <w:numPr>
          <w:ilvl w:val="2"/>
          <w:numId w:val="12"/>
        </w:numPr>
        <w:ind w:left="851" w:hanging="851"/>
      </w:pPr>
      <w:r>
        <w:t>Configuración de la subasta</w:t>
      </w:r>
    </w:p>
    <w:p w14:paraId="6548122B" w14:textId="77777777" w:rsidR="00EF2B5D" w:rsidRDefault="00EF2B5D" w:rsidP="00EF2B5D">
      <w:pPr>
        <w:ind w:right="90"/>
      </w:pPr>
    </w:p>
    <w:p w14:paraId="18EDDDA1" w14:textId="77777777" w:rsidR="00EF2B5D" w:rsidRDefault="00EF2B5D" w:rsidP="00EF2B5D">
      <w:pPr>
        <w:ind w:right="90"/>
      </w:pPr>
      <w:r>
        <w:t>Partiendo de lo previsto en el Decreto 1082 de 2015, la subasta inversa corresponde a una puja dinámica efectuada con la presencia de los proponentes a través de un espacio digital, mediante la reducción sucesiva de precios durante un tiempo determinado, de acuerdo con las reglas previstas en el precitado decreto y en el pliego de condiciones y sus anexos.</w:t>
      </w:r>
    </w:p>
    <w:p w14:paraId="785C3370" w14:textId="77777777" w:rsidR="00EF2B5D" w:rsidRDefault="00EF2B5D" w:rsidP="00EF2B5D">
      <w:pPr>
        <w:ind w:right="90"/>
      </w:pPr>
    </w:p>
    <w:p w14:paraId="042E5A9C" w14:textId="77777777" w:rsidR="00EF2B5D" w:rsidRDefault="00EF2B5D" w:rsidP="00EF2B5D">
      <w:pPr>
        <w:ind w:right="90"/>
      </w:pPr>
      <w:r>
        <w:t>En ese orden, y para efectos del desarrollo de la subasta inversa electrónica del presente proceso, la entidad establece el procedimiento que se seguirá para su realización, teniendo en cuenta lo establecido en el artículo 2.2.1.2.1.2.2. del Decreto 1082 de 2015:</w:t>
      </w:r>
    </w:p>
    <w:p w14:paraId="0156BD29" w14:textId="77777777" w:rsidR="00EF2B5D" w:rsidRDefault="00EF2B5D" w:rsidP="00EF2B5D">
      <w:pPr>
        <w:ind w:right="90"/>
      </w:pPr>
    </w:p>
    <w:p w14:paraId="77A380FE" w14:textId="76F876A7" w:rsidR="00EF2B5D" w:rsidRDefault="00EF2B5D" w:rsidP="00DC34C4">
      <w:pPr>
        <w:numPr>
          <w:ilvl w:val="0"/>
          <w:numId w:val="6"/>
        </w:numPr>
        <w:pBdr>
          <w:top w:val="nil"/>
          <w:left w:val="nil"/>
          <w:bottom w:val="nil"/>
          <w:right w:val="nil"/>
          <w:between w:val="nil"/>
        </w:pBdr>
        <w:ind w:left="426" w:hanging="426"/>
      </w:pPr>
      <w:r>
        <w:rPr>
          <w:color w:val="000000"/>
        </w:rPr>
        <w:t xml:space="preserve">Los oferentes habilitados deberán acceder al evento de subasta autenticándose a través de la plataforma SECOP II. Para ello, deberán disponer de los recursos tecnológicos necesarios para su participación toda vez que la </w:t>
      </w:r>
      <w:r w:rsidR="00C065CD">
        <w:rPr>
          <w:color w:val="000000"/>
        </w:rPr>
        <w:t>UAEMC</w:t>
      </w:r>
      <w:r>
        <w:rPr>
          <w:color w:val="000000"/>
        </w:rPr>
        <w:t xml:space="preserve"> no proveerá conexiones desde sus instalaciones para este evento.</w:t>
      </w:r>
    </w:p>
    <w:p w14:paraId="56988BD5" w14:textId="77777777" w:rsidR="00EF2B5D" w:rsidRDefault="00EF2B5D" w:rsidP="00DC34C4">
      <w:pPr>
        <w:numPr>
          <w:ilvl w:val="0"/>
          <w:numId w:val="6"/>
        </w:numPr>
        <w:pBdr>
          <w:top w:val="nil"/>
          <w:left w:val="nil"/>
          <w:bottom w:val="nil"/>
          <w:right w:val="nil"/>
          <w:between w:val="nil"/>
        </w:pBdr>
        <w:ind w:left="426" w:hanging="426"/>
      </w:pPr>
      <w:r>
        <w:rPr>
          <w:color w:val="000000"/>
        </w:rPr>
        <w:t xml:space="preserve">Cada subasta se configurará por un tiempo de </w:t>
      </w:r>
      <w:r w:rsidRPr="00E8495F">
        <w:rPr>
          <w:color w:val="C00000"/>
        </w:rPr>
        <w:t>[Incluir un periodo de tiempo. Ejemplo: noventa (90) minutos o diez (10) minutos con cinco (5) minutos de tiempo extra en caso de presentarse lance en los últimos dos minutos al cierre de la subasta]</w:t>
      </w:r>
      <w:r>
        <w:rPr>
          <w:color w:val="000000"/>
        </w:rPr>
        <w:t xml:space="preserve"> para que los proponentes presenten sus lances.</w:t>
      </w:r>
    </w:p>
    <w:p w14:paraId="35393DA0" w14:textId="77777777" w:rsidR="00EF2B5D" w:rsidRDefault="00EF2B5D" w:rsidP="00DC34C4">
      <w:pPr>
        <w:numPr>
          <w:ilvl w:val="0"/>
          <w:numId w:val="6"/>
        </w:numPr>
        <w:pBdr>
          <w:top w:val="nil"/>
          <w:left w:val="nil"/>
          <w:bottom w:val="nil"/>
          <w:right w:val="nil"/>
          <w:between w:val="nil"/>
        </w:pBdr>
        <w:ind w:left="426" w:hanging="426"/>
      </w:pPr>
      <w:r>
        <w:rPr>
          <w:color w:val="000000"/>
        </w:rPr>
        <w:t>La cuantía de inicio de la subasta será el menor valor ofrecido por los oferentes que resulten habilitados para participar en el evento.</w:t>
      </w:r>
    </w:p>
    <w:p w14:paraId="6FFDF565" w14:textId="77777777" w:rsidR="00EF2B5D" w:rsidRDefault="00EF2B5D" w:rsidP="00DC34C4">
      <w:pPr>
        <w:numPr>
          <w:ilvl w:val="0"/>
          <w:numId w:val="6"/>
        </w:numPr>
        <w:pBdr>
          <w:top w:val="nil"/>
          <w:left w:val="nil"/>
          <w:bottom w:val="nil"/>
          <w:right w:val="nil"/>
          <w:between w:val="nil"/>
        </w:pBdr>
        <w:ind w:left="426" w:hanging="426"/>
      </w:pPr>
      <w:r>
        <w:rPr>
          <w:color w:val="000000"/>
        </w:rPr>
        <w:t>Solamente serán válidos los lances efectuados durante la subasta en los cuales la oferta sea mejorada en por lo menos el margen mínimo establecido para el presente proceso.</w:t>
      </w:r>
    </w:p>
    <w:p w14:paraId="7CBC0E76" w14:textId="37A1BE5A" w:rsidR="00EF2B5D" w:rsidRDefault="00EF2B5D" w:rsidP="00E74892">
      <w:pPr>
        <w:numPr>
          <w:ilvl w:val="0"/>
          <w:numId w:val="6"/>
        </w:numPr>
        <w:pBdr>
          <w:top w:val="nil"/>
          <w:left w:val="nil"/>
          <w:bottom w:val="nil"/>
          <w:right w:val="nil"/>
          <w:between w:val="nil"/>
        </w:pBdr>
        <w:ind w:left="426" w:hanging="426"/>
      </w:pPr>
      <w:r>
        <w:rPr>
          <w:color w:val="000000"/>
        </w:rPr>
        <w:t xml:space="preserve">Al terminar la presentación de cada lance la </w:t>
      </w:r>
      <w:r w:rsidR="00E74892">
        <w:rPr>
          <w:color w:val="000000"/>
        </w:rPr>
        <w:t xml:space="preserve">plataforma </w:t>
      </w:r>
      <w:r w:rsidR="00324CBD">
        <w:rPr>
          <w:color w:val="000000"/>
        </w:rPr>
        <w:t xml:space="preserve">SECOP II </w:t>
      </w:r>
      <w:r w:rsidR="00E74892">
        <w:rPr>
          <w:color w:val="000000"/>
        </w:rPr>
        <w:t>actualiza el lance válido según el menor precio ofertado</w:t>
      </w:r>
      <w:r>
        <w:rPr>
          <w:color w:val="000000"/>
        </w:rPr>
        <w:t xml:space="preserve">. Lo anterior, toda vez que la plataforma controla el margen mínimo frente al último lance de cada proponente, no frente a la oferta más baja. </w:t>
      </w:r>
    </w:p>
    <w:p w14:paraId="5583BEED" w14:textId="77777777" w:rsidR="00EF2B5D" w:rsidRDefault="00EF2B5D" w:rsidP="00DC34C4">
      <w:pPr>
        <w:numPr>
          <w:ilvl w:val="0"/>
          <w:numId w:val="6"/>
        </w:numPr>
        <w:pBdr>
          <w:top w:val="nil"/>
          <w:left w:val="nil"/>
          <w:bottom w:val="nil"/>
          <w:right w:val="nil"/>
          <w:between w:val="nil"/>
        </w:pBdr>
        <w:ind w:left="426" w:hanging="426"/>
      </w:pPr>
      <w:r>
        <w:rPr>
          <w:color w:val="000000"/>
        </w:rPr>
        <w:lastRenderedPageBreak/>
        <w:t>Si en el curso de la subasta electrónica dos o más oferentes presentan una postura del mismo valor, la herramienta tendrá la capacidad de establecer cual oferente envió cronológicamente primero dicha postura. Para determinar esto, la herramienta utiliza una certificación electrónica emitida por una Entidad de certificación digital autorizada por la Superintendencia de Industria y Comercio para la prestación de este servicio, la cual garantiza legalmente el momento exacto en que se reciben las posturas en el sistema.</w:t>
      </w:r>
    </w:p>
    <w:p w14:paraId="3A405FE4" w14:textId="77777777" w:rsidR="00EF2B5D" w:rsidRDefault="00EF2B5D" w:rsidP="00DC34C4">
      <w:pPr>
        <w:numPr>
          <w:ilvl w:val="0"/>
          <w:numId w:val="6"/>
        </w:numPr>
        <w:pBdr>
          <w:top w:val="nil"/>
          <w:left w:val="nil"/>
          <w:bottom w:val="nil"/>
          <w:right w:val="nil"/>
          <w:between w:val="nil"/>
        </w:pBdr>
        <w:ind w:left="426" w:hanging="426"/>
      </w:pPr>
      <w:r>
        <w:rPr>
          <w:color w:val="000000"/>
        </w:rPr>
        <w:t>Toda propuesta posterior anula la anterior realizada por el mismo proponente, de manera que, al final del certamen, la única propuesta que se tomará en cuenta y que se constituirá como la propuesta económica definitiva será la más baja que haya realizado cada proponente, siendo la más favorable, el lance presentado con el menor valor cuando los demás no hagan lances adicionales durante el periodo que corresponde a la presentación de estos.</w:t>
      </w:r>
    </w:p>
    <w:p w14:paraId="52AB86D8" w14:textId="77777777" w:rsidR="00EF2B5D" w:rsidRDefault="00EF2B5D" w:rsidP="00DC34C4">
      <w:pPr>
        <w:numPr>
          <w:ilvl w:val="0"/>
          <w:numId w:val="6"/>
        </w:numPr>
        <w:pBdr>
          <w:top w:val="nil"/>
          <w:left w:val="nil"/>
          <w:bottom w:val="nil"/>
          <w:right w:val="nil"/>
          <w:between w:val="nil"/>
        </w:pBdr>
        <w:ind w:left="426" w:hanging="426"/>
      </w:pPr>
      <w:r>
        <w:rPr>
          <w:color w:val="000000"/>
        </w:rPr>
        <w:t>Si en el curso de la subasta electrónica se presentan fallas de la plataforma tecnológica SECOP II como las previstas en el artículo 2.2.1.2.1.2.6 del Decreto 1082 de 2015, que impidan continuar con el curso normal de la misma, “(</w:t>
      </w:r>
      <w:r>
        <w:rPr>
          <w:i/>
          <w:color w:val="000000"/>
        </w:rPr>
        <w:t>…) la subasta será suspendida y cuando la falla técnica haya sido superada la entidad estatal debe reiniciar la subasta (…)</w:t>
      </w:r>
      <w:r>
        <w:rPr>
          <w:color w:val="000000"/>
        </w:rPr>
        <w:t>”. En tal sentido, se dará reinicio al evento de subasta en las condiciones y fechas que establezca la entidad y que serán comunicadas a los oferentes habilitados mediante mensaje público en la plataforma.</w:t>
      </w:r>
    </w:p>
    <w:p w14:paraId="1960DE38" w14:textId="77777777" w:rsidR="00EF2B5D" w:rsidRDefault="00EF2B5D" w:rsidP="00DC34C4">
      <w:pPr>
        <w:numPr>
          <w:ilvl w:val="0"/>
          <w:numId w:val="6"/>
        </w:numPr>
        <w:pBdr>
          <w:top w:val="nil"/>
          <w:left w:val="nil"/>
          <w:bottom w:val="nil"/>
          <w:right w:val="nil"/>
          <w:between w:val="nil"/>
        </w:pBdr>
        <w:ind w:left="426" w:right="90" w:hanging="426"/>
        <w:rPr>
          <w:color w:val="000000"/>
        </w:rPr>
      </w:pPr>
      <w:r>
        <w:rPr>
          <w:color w:val="000000"/>
        </w:rPr>
        <w:t>En el evento en que el proponente presente una indisponibilidad particular de la plataforma, deberá informarlo de manera inmediata al correo electrónico institucional dispuesto por la entidad para el proceso. Dicho correo deberá contener: (i) nombre del proponente, (</w:t>
      </w:r>
      <w:proofErr w:type="spellStart"/>
      <w:r>
        <w:rPr>
          <w:color w:val="000000"/>
        </w:rPr>
        <w:t>ii</w:t>
      </w:r>
      <w:proofErr w:type="spellEnd"/>
      <w:r>
        <w:rPr>
          <w:color w:val="000000"/>
        </w:rPr>
        <w:t>) usuario, (</w:t>
      </w:r>
      <w:proofErr w:type="spellStart"/>
      <w:r>
        <w:rPr>
          <w:color w:val="000000"/>
        </w:rPr>
        <w:t>iii</w:t>
      </w:r>
      <w:proofErr w:type="spellEnd"/>
      <w:r>
        <w:rPr>
          <w:color w:val="000000"/>
        </w:rPr>
        <w:t>) número del Proceso y (</w:t>
      </w:r>
      <w:proofErr w:type="spellStart"/>
      <w:r>
        <w:rPr>
          <w:color w:val="000000"/>
        </w:rPr>
        <w:t>iv</w:t>
      </w:r>
      <w:proofErr w:type="spellEnd"/>
      <w:r>
        <w:rPr>
          <w:color w:val="000000"/>
        </w:rPr>
        <w:t>) ticket de radicación de la falla ante la mesa de ayuda de Colombia Compra Eficiente quien es la administradora de la plataforma. Si la presente solicitud no se realiza en observancia de las condiciones aquí señaladas o se envía con posterioridad a la finalización de la subasta, la misma será considerada como extemporánea y no surtirá efectos dentro del proceso.</w:t>
      </w:r>
    </w:p>
    <w:p w14:paraId="3439C457" w14:textId="77777777" w:rsidR="00EF2B5D" w:rsidRDefault="00EF2B5D" w:rsidP="00DC34C4">
      <w:pPr>
        <w:numPr>
          <w:ilvl w:val="0"/>
          <w:numId w:val="6"/>
        </w:numPr>
        <w:pBdr>
          <w:top w:val="nil"/>
          <w:left w:val="nil"/>
          <w:bottom w:val="nil"/>
          <w:right w:val="nil"/>
          <w:between w:val="nil"/>
        </w:pBdr>
        <w:ind w:left="426" w:right="90" w:hanging="426"/>
        <w:rPr>
          <w:color w:val="000000"/>
        </w:rPr>
      </w:pPr>
      <w:r>
        <w:rPr>
          <w:color w:val="000000"/>
        </w:rPr>
        <w:t xml:space="preserve">De igual manera, la Entidad podrá aplicar lo definido en el artículo 2.2.1.2.1.2.6. del Decreto 1082 de 2015, que señala: </w:t>
      </w:r>
      <w:r>
        <w:rPr>
          <w:i/>
          <w:color w:val="000000"/>
        </w:rPr>
        <w:t>(…) si por causas imputables al oferente o a su proveedor de soluciones de tecnología de la información y telecomunicaciones, durante la subasta inversa electrónica la conexión con el sistema se pierde, la subasta continuará y la entidad estatal entiende que el proveedor que pierde su conexión ha desistido de participar en la misma (…)</w:t>
      </w:r>
      <w:r>
        <w:rPr>
          <w:color w:val="000000"/>
        </w:rPr>
        <w:t xml:space="preserve">. salvo que logre volver a conectarse antes de la terminación del evento, entendiendo que su propuesta está constituida por la presentación de oferta inicial de precio dentro del proceso de selección de conformidad con el </w:t>
      </w:r>
      <w:r>
        <w:t>a</w:t>
      </w:r>
      <w:r>
        <w:rPr>
          <w:color w:val="000000"/>
        </w:rPr>
        <w:t>rtículo 2.2.1.2.1.1.1 del Decreto 1082 de 2015, o por el último lance mientras estuviera conectado a la plataforma tecnológica de subasta.</w:t>
      </w:r>
    </w:p>
    <w:p w14:paraId="272E07B6" w14:textId="77777777" w:rsidR="00EF2B5D" w:rsidRDefault="00EF2B5D" w:rsidP="00DC34C4">
      <w:pPr>
        <w:numPr>
          <w:ilvl w:val="0"/>
          <w:numId w:val="6"/>
        </w:numPr>
        <w:pBdr>
          <w:top w:val="nil"/>
          <w:left w:val="nil"/>
          <w:bottom w:val="nil"/>
          <w:right w:val="nil"/>
          <w:between w:val="nil"/>
        </w:pBdr>
        <w:ind w:left="426" w:right="90" w:hanging="426"/>
        <w:rPr>
          <w:color w:val="000000"/>
        </w:rPr>
      </w:pPr>
      <w:r>
        <w:rPr>
          <w:color w:val="000000"/>
        </w:rPr>
        <w:t xml:space="preserve">Se realizarán tantas rondas cuanto fuesen necesarias hasta tanto se dé lugar a una de las siguientes situaciones: (i) Se agote el tiempo configurado por la entidad para los lances, sin que se haya presentado alguno. (ii) No se presente ningún lance válido en el tiempo definido </w:t>
      </w:r>
      <w:r>
        <w:rPr>
          <w:color w:val="000000"/>
        </w:rPr>
        <w:lastRenderedPageBreak/>
        <w:t>para lances, o (</w:t>
      </w:r>
      <w:proofErr w:type="spellStart"/>
      <w:r>
        <w:rPr>
          <w:color w:val="000000"/>
        </w:rPr>
        <w:t>iii</w:t>
      </w:r>
      <w:proofErr w:type="spellEnd"/>
      <w:r>
        <w:rPr>
          <w:color w:val="000000"/>
        </w:rPr>
        <w:t>) Solo uno de los proponentes realice un lance válido durante el tiempo de lances.</w:t>
      </w:r>
    </w:p>
    <w:p w14:paraId="2BEA9D3F" w14:textId="203C6088" w:rsidR="00EF2B5D" w:rsidRPr="00942B75" w:rsidRDefault="00EF2B5D" w:rsidP="00DC34C4">
      <w:pPr>
        <w:numPr>
          <w:ilvl w:val="0"/>
          <w:numId w:val="6"/>
        </w:numPr>
        <w:pBdr>
          <w:top w:val="nil"/>
          <w:left w:val="nil"/>
          <w:bottom w:val="nil"/>
          <w:right w:val="nil"/>
          <w:between w:val="nil"/>
        </w:pBdr>
        <w:ind w:left="426" w:right="90" w:hanging="426"/>
      </w:pPr>
      <w:r w:rsidRPr="00942B75">
        <w:t xml:space="preserve">En el evento en que la </w:t>
      </w:r>
      <w:r w:rsidR="00C065CD" w:rsidRPr="00942B75">
        <w:t>UAEMC</w:t>
      </w:r>
      <w:r w:rsidRPr="00942B75">
        <w:t xml:space="preserve"> evidencie ofertas presunta o artificialmente bajas culminado el evento de subasta dará aplicación a la Guía para el manejo de ofertas artificialmente bajas en Procesos de Contratación, en concordancia con lo establecido en al artículo 2.2.1.1.2.2.4 del Decreto 1082 de 2015.</w:t>
      </w:r>
    </w:p>
    <w:p w14:paraId="629F4257" w14:textId="4D21D2EF" w:rsidR="00EF2B5D" w:rsidRPr="00206BF9" w:rsidRDefault="00EF2B5D" w:rsidP="00DC34C4">
      <w:pPr>
        <w:numPr>
          <w:ilvl w:val="0"/>
          <w:numId w:val="6"/>
        </w:numPr>
        <w:ind w:left="425" w:right="90"/>
      </w:pPr>
      <w:r w:rsidRPr="00206BF9">
        <w:t xml:space="preserve">Cuando se presente documento anexo en el que se discrimine el precio unitario para cada </w:t>
      </w:r>
      <w:r w:rsidR="00942B75" w:rsidRPr="00206BF9">
        <w:t>ítem</w:t>
      </w:r>
      <w:r w:rsidR="000A2B4A" w:rsidRPr="00206BF9">
        <w:t xml:space="preserve">, previa </w:t>
      </w:r>
      <w:r w:rsidRPr="00206BF9">
        <w:t xml:space="preserve">celebración del contrato, la </w:t>
      </w:r>
      <w:r w:rsidR="00C065CD" w:rsidRPr="00206BF9">
        <w:t>UAEMC</w:t>
      </w:r>
      <w:r w:rsidRPr="00206BF9">
        <w:t xml:space="preserve"> ajustará los precios unitarios de cada ítem, aplicando el porcentaje de mejora obtenido en la subasta sobre el precio ofertado por el proponente adjudicatario. Este porcentaje se calculará con base en la diferencia entre el valor total inicialmente ofertado y el valor final alcanzado al cierre de la subasta.</w:t>
      </w:r>
    </w:p>
    <w:p w14:paraId="12C0F640" w14:textId="77777777" w:rsidR="00EF2B5D" w:rsidRDefault="00EF2B5D" w:rsidP="00DC34C4">
      <w:pPr>
        <w:numPr>
          <w:ilvl w:val="0"/>
          <w:numId w:val="6"/>
        </w:numPr>
        <w:pBdr>
          <w:top w:val="nil"/>
          <w:left w:val="nil"/>
          <w:bottom w:val="nil"/>
          <w:right w:val="nil"/>
          <w:between w:val="nil"/>
        </w:pBdr>
        <w:ind w:left="426" w:right="90" w:hanging="426"/>
        <w:rPr>
          <w:color w:val="000000"/>
        </w:rPr>
      </w:pPr>
      <w:r>
        <w:rPr>
          <w:color w:val="000000"/>
        </w:rPr>
        <w:t>Si los oferentes no presentan lances durante el evento de subasta, la recomendación del Comité Evaluador será adjudicar al proponente habilitado que haya presentado el menor valor en la oferta inicial de precio.</w:t>
      </w:r>
    </w:p>
    <w:p w14:paraId="0FB3A548" w14:textId="530CB6DF" w:rsidR="00EF2B5D" w:rsidRDefault="00EF2B5D" w:rsidP="00DC34C4">
      <w:pPr>
        <w:numPr>
          <w:ilvl w:val="0"/>
          <w:numId w:val="6"/>
        </w:numPr>
        <w:pBdr>
          <w:top w:val="nil"/>
          <w:left w:val="nil"/>
          <w:bottom w:val="nil"/>
          <w:right w:val="nil"/>
          <w:between w:val="nil"/>
        </w:pBdr>
        <w:ind w:left="426" w:right="90" w:hanging="426"/>
        <w:rPr>
          <w:color w:val="000000"/>
        </w:rPr>
      </w:pPr>
      <w:r>
        <w:rPr>
          <w:color w:val="000000"/>
        </w:rPr>
        <w:t xml:space="preserve">Concluida la subasta, la </w:t>
      </w:r>
      <w:r w:rsidR="00C065CD">
        <w:rPr>
          <w:color w:val="000000"/>
        </w:rPr>
        <w:t>UAEMC</w:t>
      </w:r>
      <w:r>
        <w:rPr>
          <w:color w:val="000000"/>
        </w:rPr>
        <w:t xml:space="preserve"> hará público el resultado del certamen, indicando el nombre del oferente y el valor del último lance presentado por él. Posteriormente, la Entidad procederá a adjudicar o declarar desierto el proceso en aplicación de los principios y disposiciones de la Ley 80 de 1993, Ley 1150 de 2007, Decreto Reglamentario 1082 de 2015 y el pliego de condiciones.</w:t>
      </w:r>
    </w:p>
    <w:p w14:paraId="79D87F30" w14:textId="77777777" w:rsidR="00EF2B5D" w:rsidRDefault="00EF2B5D" w:rsidP="00EF2B5D">
      <w:pPr>
        <w:ind w:right="-30"/>
      </w:pPr>
    </w:p>
    <w:p w14:paraId="019451F2" w14:textId="38240D80" w:rsidR="00EF2B5D" w:rsidRDefault="00942B75" w:rsidP="00DC34C4">
      <w:pPr>
        <w:pStyle w:val="Ttulo2"/>
        <w:keepNext w:val="0"/>
        <w:numPr>
          <w:ilvl w:val="1"/>
          <w:numId w:val="12"/>
        </w:numPr>
        <w:ind w:left="851" w:hanging="851"/>
      </w:pPr>
      <w:r>
        <w:t>CRITERIOS DE DESEMPATE</w:t>
      </w:r>
    </w:p>
    <w:p w14:paraId="32186DFB" w14:textId="77777777" w:rsidR="00EF2B5D" w:rsidRDefault="00EF2B5D" w:rsidP="00EF2B5D">
      <w:pPr>
        <w:ind w:right="-30"/>
      </w:pPr>
    </w:p>
    <w:p w14:paraId="6E401172" w14:textId="77777777" w:rsidR="00EF2B5D" w:rsidRDefault="00EF2B5D" w:rsidP="00EF2B5D">
      <w:r>
        <w:t xml:space="preserve">En caso de empate en el puntaje total de dos o más ofertas evaluadas, la entidad aplicará </w:t>
      </w:r>
      <w:r>
        <w:rPr>
          <w:rFonts w:ascii="CIDFont+F2" w:eastAsia="CIDFont+F2" w:hAnsi="CIDFont+F2" w:cs="CIDFont+F2"/>
          <w:sz w:val="21"/>
          <w:szCs w:val="21"/>
        </w:rPr>
        <w:t xml:space="preserve">las reglas establecidas </w:t>
      </w:r>
      <w:r>
        <w:t xml:space="preserve">en </w:t>
      </w:r>
      <w:r>
        <w:rPr>
          <w:color w:val="000000"/>
          <w:highlight w:val="white"/>
        </w:rPr>
        <w:t>el artículo 35 de la Ley 2069 de 2020</w:t>
      </w:r>
      <w:r>
        <w:rPr>
          <w:highlight w:val="white"/>
        </w:rPr>
        <w:t xml:space="preserve">, en concordancia con </w:t>
      </w:r>
      <w:r>
        <w:rPr>
          <w:color w:val="000000"/>
          <w:highlight w:val="white"/>
        </w:rPr>
        <w:t xml:space="preserve">el artículo 2.2.1.2.4.2.17 del Decreto 1082 de 2015, </w:t>
      </w:r>
      <w:r>
        <w:rPr>
          <w:rFonts w:ascii="CIDFont+F2" w:eastAsia="CIDFont+F2" w:hAnsi="CIDFont+F2" w:cs="CIDFont+F2"/>
          <w:sz w:val="21"/>
          <w:szCs w:val="21"/>
        </w:rPr>
        <w:t>de forma sucesiva y excluyente para seleccionar al oferente favorecido, respetando, en todo caso, las obligaciones contenidas en los Acuerdos Comerciales vigentes.</w:t>
      </w:r>
    </w:p>
    <w:p w14:paraId="2AEA30E6" w14:textId="77777777" w:rsidR="00EF2B5D" w:rsidRDefault="00EF2B5D" w:rsidP="00EF2B5D">
      <w:pPr>
        <w:pBdr>
          <w:top w:val="nil"/>
          <w:left w:val="nil"/>
          <w:bottom w:val="nil"/>
          <w:right w:val="nil"/>
          <w:between w:val="nil"/>
        </w:pBdr>
        <w:rPr>
          <w:color w:val="000000"/>
        </w:rPr>
      </w:pPr>
    </w:p>
    <w:p w14:paraId="7562A7C4" w14:textId="77777777" w:rsidR="00EF2B5D" w:rsidRDefault="00EF2B5D" w:rsidP="00EF2B5D">
      <w:pPr>
        <w:pBdr>
          <w:top w:val="nil"/>
          <w:left w:val="nil"/>
          <w:bottom w:val="nil"/>
          <w:right w:val="nil"/>
          <w:between w:val="nil"/>
        </w:pBdr>
        <w:rPr>
          <w:color w:val="000000"/>
        </w:rPr>
      </w:pPr>
      <w:r>
        <w:rPr>
          <w:color w:val="000000"/>
        </w:rPr>
        <w:t>En ese sentido, corresponde al proponente acreditar la documentación, junto con la oferta, tendiente a demostrar cada uno de los criterios para así dirimir el desempate.</w:t>
      </w:r>
    </w:p>
    <w:p w14:paraId="64CAFD97" w14:textId="77777777" w:rsidR="00EF2B5D" w:rsidRDefault="00EF2B5D" w:rsidP="00EF2B5D">
      <w:pPr>
        <w:pBdr>
          <w:top w:val="nil"/>
          <w:left w:val="nil"/>
          <w:bottom w:val="nil"/>
          <w:right w:val="nil"/>
          <w:between w:val="nil"/>
        </w:pBdr>
        <w:ind w:right="-30"/>
        <w:rPr>
          <w:color w:val="000000"/>
          <w:highlight w:val="white"/>
        </w:rPr>
      </w:pPr>
      <w:bookmarkStart w:id="14" w:name="_heading=h.ekr8mbjcsii6" w:colFirst="0" w:colLast="0"/>
      <w:bookmarkEnd w:id="14"/>
    </w:p>
    <w:p w14:paraId="5A6F7F91" w14:textId="77777777" w:rsidR="00EF2B5D" w:rsidRDefault="00EF2B5D" w:rsidP="00DC34C4">
      <w:pPr>
        <w:pStyle w:val="Ttulo3"/>
        <w:numPr>
          <w:ilvl w:val="2"/>
          <w:numId w:val="12"/>
        </w:numPr>
        <w:ind w:left="851" w:hanging="851"/>
        <w:rPr>
          <w:highlight w:val="white"/>
        </w:rPr>
      </w:pPr>
      <w:r>
        <w:rPr>
          <w:highlight w:val="white"/>
        </w:rPr>
        <w:t>Método aleatorio</w:t>
      </w:r>
    </w:p>
    <w:p w14:paraId="027DC53B" w14:textId="77777777" w:rsidR="00EF2B5D" w:rsidRDefault="00EF2B5D" w:rsidP="00EF2B5D">
      <w:pPr>
        <w:pBdr>
          <w:top w:val="nil"/>
          <w:left w:val="nil"/>
          <w:bottom w:val="nil"/>
          <w:right w:val="nil"/>
          <w:between w:val="nil"/>
        </w:pBdr>
        <w:ind w:right="-30"/>
        <w:rPr>
          <w:color w:val="000000"/>
          <w:highlight w:val="white"/>
        </w:rPr>
      </w:pPr>
    </w:p>
    <w:p w14:paraId="2E041CF6" w14:textId="3AF9F088" w:rsidR="00EF2B5D" w:rsidRDefault="00EF2B5D" w:rsidP="00EF2B5D">
      <w:pPr>
        <w:pBdr>
          <w:top w:val="nil"/>
          <w:left w:val="nil"/>
          <w:bottom w:val="nil"/>
          <w:right w:val="nil"/>
          <w:between w:val="nil"/>
        </w:pBdr>
        <w:ind w:right="-30"/>
        <w:rPr>
          <w:color w:val="000000"/>
          <w:highlight w:val="white"/>
        </w:rPr>
      </w:pPr>
      <w:r>
        <w:rPr>
          <w:color w:val="000000"/>
          <w:highlight w:val="white"/>
        </w:rPr>
        <w:t xml:space="preserve">En caso que, una vez aplicados los criterios de desempate no se haya podido dirimir el mismo, </w:t>
      </w:r>
      <w:r>
        <w:rPr>
          <w:color w:val="000000"/>
        </w:rPr>
        <w:t xml:space="preserve">la </w:t>
      </w:r>
      <w:r w:rsidR="00C065CD">
        <w:rPr>
          <w:color w:val="000000"/>
        </w:rPr>
        <w:t>UAEMC</w:t>
      </w:r>
      <w:r>
        <w:rPr>
          <w:color w:val="000000"/>
        </w:rPr>
        <w:t xml:space="preserve"> </w:t>
      </w:r>
      <w:r>
        <w:rPr>
          <w:color w:val="000000"/>
          <w:highlight w:val="white"/>
        </w:rPr>
        <w:t>establece como criterio aleatorio el siguiente:</w:t>
      </w:r>
    </w:p>
    <w:p w14:paraId="6ED7C981" w14:textId="77777777" w:rsidR="00EF2B5D" w:rsidRDefault="00EF2B5D" w:rsidP="00EF2B5D">
      <w:pPr>
        <w:pBdr>
          <w:top w:val="nil"/>
          <w:left w:val="nil"/>
          <w:bottom w:val="nil"/>
          <w:right w:val="nil"/>
          <w:between w:val="nil"/>
        </w:pBdr>
        <w:ind w:right="-30"/>
        <w:rPr>
          <w:color w:val="000000"/>
          <w:highlight w:val="white"/>
        </w:rPr>
      </w:pPr>
    </w:p>
    <w:p w14:paraId="675A5D49" w14:textId="77777777" w:rsidR="00EF2B5D" w:rsidRDefault="00EF2B5D" w:rsidP="00DC34C4">
      <w:pPr>
        <w:numPr>
          <w:ilvl w:val="0"/>
          <w:numId w:val="5"/>
        </w:numPr>
        <w:pBdr>
          <w:top w:val="nil"/>
          <w:left w:val="nil"/>
          <w:bottom w:val="nil"/>
          <w:right w:val="nil"/>
          <w:between w:val="nil"/>
        </w:pBdr>
        <w:ind w:left="426" w:hanging="426"/>
        <w:rPr>
          <w:color w:val="000000"/>
          <w:highlight w:val="white"/>
        </w:rPr>
      </w:pPr>
      <w:r>
        <w:rPr>
          <w:color w:val="000000"/>
          <w:highlight w:val="white"/>
        </w:rPr>
        <w:t>La entidad conformará un listado con los proponentes empatados.</w:t>
      </w:r>
    </w:p>
    <w:p w14:paraId="10B9AA71" w14:textId="77777777" w:rsidR="00EF2B5D" w:rsidRDefault="00EF2B5D" w:rsidP="00DC34C4">
      <w:pPr>
        <w:numPr>
          <w:ilvl w:val="0"/>
          <w:numId w:val="5"/>
        </w:numPr>
        <w:pBdr>
          <w:top w:val="nil"/>
          <w:left w:val="nil"/>
          <w:bottom w:val="nil"/>
          <w:right w:val="nil"/>
          <w:between w:val="nil"/>
        </w:pBdr>
        <w:ind w:left="426" w:hanging="426"/>
        <w:rPr>
          <w:color w:val="000000"/>
          <w:highlight w:val="white"/>
        </w:rPr>
      </w:pPr>
      <w:r>
        <w:rPr>
          <w:color w:val="000000"/>
          <w:highlight w:val="white"/>
        </w:rPr>
        <w:t>Posteriormente los ordenará de manera alfabética teniendo como base el nombre del proponente en la plataforma SECOP II. A efectos de ordenar alfabéticamente a los proponentes, se excluirá del nombre las denominaciones “Consorcio” y “Unión Temporal”.</w:t>
      </w:r>
    </w:p>
    <w:p w14:paraId="3DCC5A43" w14:textId="77777777" w:rsidR="00EF2B5D" w:rsidRDefault="00EF2B5D" w:rsidP="00DC34C4">
      <w:pPr>
        <w:numPr>
          <w:ilvl w:val="0"/>
          <w:numId w:val="5"/>
        </w:numPr>
        <w:pBdr>
          <w:top w:val="nil"/>
          <w:left w:val="nil"/>
          <w:bottom w:val="nil"/>
          <w:right w:val="nil"/>
          <w:between w:val="nil"/>
        </w:pBdr>
        <w:ind w:left="426" w:hanging="426"/>
        <w:rPr>
          <w:color w:val="000000"/>
          <w:highlight w:val="white"/>
        </w:rPr>
      </w:pPr>
      <w:r>
        <w:rPr>
          <w:color w:val="000000"/>
          <w:highlight w:val="white"/>
        </w:rPr>
        <w:lastRenderedPageBreak/>
        <w:t>Luego asignará un número entero consecutivo a cada uno de ellos de forma ascendente.; de tal manera que al primero de la lista le corresponderá el número 1, al segundo el número 2 y así sucesivamente.</w:t>
      </w:r>
    </w:p>
    <w:p w14:paraId="63AF926E" w14:textId="77777777" w:rsidR="00EF2B5D" w:rsidRDefault="00EF2B5D" w:rsidP="00DC34C4">
      <w:pPr>
        <w:numPr>
          <w:ilvl w:val="0"/>
          <w:numId w:val="5"/>
        </w:numPr>
        <w:pBdr>
          <w:top w:val="nil"/>
          <w:left w:val="nil"/>
          <w:bottom w:val="nil"/>
          <w:right w:val="nil"/>
          <w:between w:val="nil"/>
        </w:pBdr>
        <w:ind w:left="426" w:hanging="426"/>
        <w:rPr>
          <w:color w:val="000000"/>
          <w:highlight w:val="white"/>
        </w:rPr>
      </w:pPr>
      <w:r>
        <w:rPr>
          <w:color w:val="000000"/>
          <w:highlight w:val="white"/>
        </w:rPr>
        <w:t>Seguidamente, la entidad tomará la parte entera (números a la izquierda de la coma decimal) de la Tasa Representativa del Mercado (TRM) del día siguiente al cierre del proceso. La Entidad dividirá esta parte entera entre el número total de proponentes en empate para posteriormente tomar su residuo y utilizarlo en la selección final.</w:t>
      </w:r>
    </w:p>
    <w:p w14:paraId="61917AD9" w14:textId="77777777" w:rsidR="00EF2B5D" w:rsidRDefault="00EF2B5D" w:rsidP="00DC34C4">
      <w:pPr>
        <w:numPr>
          <w:ilvl w:val="0"/>
          <w:numId w:val="5"/>
        </w:numPr>
        <w:pBdr>
          <w:top w:val="nil"/>
          <w:left w:val="nil"/>
          <w:bottom w:val="nil"/>
          <w:right w:val="nil"/>
          <w:between w:val="nil"/>
        </w:pBdr>
        <w:ind w:left="426" w:hanging="426"/>
        <w:rPr>
          <w:color w:val="000000"/>
          <w:highlight w:val="white"/>
        </w:rPr>
      </w:pPr>
      <w:r>
        <w:rPr>
          <w:color w:val="000000"/>
          <w:highlight w:val="white"/>
        </w:rPr>
        <w:t>La Entidad seleccionará el proponente que presente coincidencia entre el número asignado y el residuo encontrado. En caso de que el residuo sea cero (0), la Entidad seleccionará al proponente con el mayor número asignado.</w:t>
      </w:r>
    </w:p>
    <w:p w14:paraId="2522BE76" w14:textId="77777777" w:rsidR="00EF2B5D" w:rsidRDefault="00EF2B5D" w:rsidP="00EF2B5D">
      <w:pPr>
        <w:rPr>
          <w:color w:val="000000"/>
          <w:highlight w:val="white"/>
        </w:rPr>
      </w:pPr>
    </w:p>
    <w:p w14:paraId="40F1705C" w14:textId="77777777" w:rsidR="00EF2B5D" w:rsidRDefault="00EF2B5D" w:rsidP="00EF2B5D">
      <w:pPr>
        <w:rPr>
          <w:color w:val="000000"/>
          <w:highlight w:val="white"/>
        </w:rPr>
      </w:pPr>
      <w:r>
        <w:rPr>
          <w:b/>
          <w:color w:val="000000"/>
          <w:highlight w:val="white"/>
        </w:rPr>
        <w:t>NOTA.</w:t>
      </w:r>
      <w:r>
        <w:rPr>
          <w:color w:val="000000"/>
          <w:highlight w:val="white"/>
        </w:rPr>
        <w:t xml:space="preserve"> La fórmula en el Excel para determinar el residuo es la siguiente:</w:t>
      </w:r>
    </w:p>
    <w:p w14:paraId="09705BCE" w14:textId="77777777" w:rsidR="00EF2B5D" w:rsidRDefault="00EF2B5D" w:rsidP="00EF2B5D">
      <w:pPr>
        <w:rPr>
          <w:color w:val="000000"/>
          <w:highlight w:val="white"/>
        </w:rPr>
      </w:pPr>
    </w:p>
    <w:p w14:paraId="367EB445" w14:textId="77777777" w:rsidR="00EF2B5D" w:rsidRDefault="00EF2B5D" w:rsidP="00EF2B5D">
      <w:pPr>
        <w:jc w:val="center"/>
        <w:rPr>
          <w:rFonts w:ascii="Cambria Math" w:eastAsia="Cambria Math" w:hAnsi="Cambria Math" w:cs="Cambria Math"/>
          <w:color w:val="000000"/>
          <w:highlight w:val="white"/>
        </w:rPr>
      </w:pPr>
      <m:oMathPara>
        <m:oMath>
          <m:r>
            <w:rPr>
              <w:rFonts w:ascii="Cambria Math" w:eastAsia="Cambria Math" w:hAnsi="Cambria Math" w:cs="Cambria Math"/>
              <w:color w:val="000000"/>
              <w:highlight w:val="white"/>
            </w:rPr>
            <m:t>=RESIDUO</m:t>
          </m:r>
          <m:d>
            <m:dPr>
              <m:ctrlPr>
                <w:rPr>
                  <w:rFonts w:ascii="Cambria Math" w:eastAsia="Cambria Math" w:hAnsi="Cambria Math" w:cs="Cambria Math"/>
                  <w:color w:val="000000"/>
                  <w:highlight w:val="white"/>
                </w:rPr>
              </m:ctrlPr>
            </m:dPr>
            <m:e>
              <m:r>
                <w:rPr>
                  <w:rFonts w:ascii="Cambria Math" w:eastAsia="Cambria Math" w:hAnsi="Cambria Math" w:cs="Cambria Math"/>
                  <w:color w:val="000000"/>
                  <w:highlight w:val="white"/>
                </w:rPr>
                <m:t>TRM;número de proponentes empatados</m:t>
              </m:r>
            </m:e>
          </m:d>
        </m:oMath>
      </m:oMathPara>
    </w:p>
    <w:p w14:paraId="35D68B04" w14:textId="77777777" w:rsidR="00EF2B5D" w:rsidRDefault="00EF2B5D" w:rsidP="00EF2B5D">
      <w:pPr>
        <w:ind w:right="90"/>
      </w:pPr>
    </w:p>
    <w:p w14:paraId="029FEB07" w14:textId="1C2D1445" w:rsidR="00EF2B5D" w:rsidRDefault="00942B75" w:rsidP="00DC34C4">
      <w:pPr>
        <w:pStyle w:val="Ttulo2"/>
        <w:keepNext w:val="0"/>
        <w:numPr>
          <w:ilvl w:val="1"/>
          <w:numId w:val="12"/>
        </w:numPr>
        <w:ind w:left="851" w:hanging="851"/>
      </w:pPr>
      <w:r>
        <w:t>ORDEN DE ELEGIBILIDAD Y ADJUDICACIÓN</w:t>
      </w:r>
    </w:p>
    <w:p w14:paraId="4C082576" w14:textId="77777777" w:rsidR="00EF2B5D" w:rsidRDefault="00EF2B5D" w:rsidP="00EF2B5D">
      <w:pPr>
        <w:ind w:right="-30"/>
      </w:pPr>
    </w:p>
    <w:p w14:paraId="6F92095E" w14:textId="77777777" w:rsidR="00EF2B5D" w:rsidRDefault="00EF2B5D" w:rsidP="00EF2B5D">
      <w:pPr>
        <w:ind w:right="-93"/>
        <w:rPr>
          <w:color w:val="000000"/>
        </w:rPr>
      </w:pPr>
      <w:r>
        <w:rPr>
          <w:color w:val="000000"/>
        </w:rPr>
        <w:t>En los casos que la ley determine la instalación de audiencia de adjudicación o se requiera. La entidad procederá a la instalación y desarrollo de la audiencia efectiva de adjudicación, sin perjuicio de la utilización de los medios virtuales que garanticen la participación y la interacción de los interesados con la entidad contratante.</w:t>
      </w:r>
    </w:p>
    <w:p w14:paraId="507E4266" w14:textId="77777777" w:rsidR="00EF2B5D" w:rsidRDefault="00EF2B5D" w:rsidP="00EF2B5D">
      <w:pPr>
        <w:ind w:right="-93"/>
        <w:rPr>
          <w:color w:val="000000"/>
        </w:rPr>
      </w:pPr>
    </w:p>
    <w:p w14:paraId="16C62896" w14:textId="47C2D3CB" w:rsidR="00EF2B5D" w:rsidRDefault="00EF2B5D" w:rsidP="00EF2B5D">
      <w:pPr>
        <w:ind w:right="-93"/>
        <w:rPr>
          <w:color w:val="000000"/>
        </w:rPr>
      </w:pPr>
      <w:r>
        <w:rPr>
          <w:color w:val="000000"/>
        </w:rPr>
        <w:t xml:space="preserve">La </w:t>
      </w:r>
      <w:r w:rsidR="00C065CD">
        <w:rPr>
          <w:color w:val="000000"/>
        </w:rPr>
        <w:t>UAEMC</w:t>
      </w:r>
      <w:r>
        <w:rPr>
          <w:color w:val="000000"/>
        </w:rPr>
        <w:t xml:space="preserve"> adjudicará en el plazo señalado en el cronograma del proceso el contrato para desarrollar el objeto de este proceso.</w:t>
      </w:r>
    </w:p>
    <w:p w14:paraId="4B0FBAB0" w14:textId="77777777" w:rsidR="00EF2B5D" w:rsidRDefault="00EF2B5D" w:rsidP="00EF2B5D">
      <w:pPr>
        <w:ind w:right="120"/>
        <w:rPr>
          <w:color w:val="000000"/>
        </w:rPr>
      </w:pPr>
    </w:p>
    <w:p w14:paraId="3579D49E" w14:textId="77777777" w:rsidR="00EF2B5D" w:rsidRDefault="00EF2B5D" w:rsidP="00EF2B5D">
      <w:pPr>
        <w:ind w:right="-93"/>
        <w:rPr>
          <w:color w:val="000000"/>
        </w:rPr>
      </w:pPr>
      <w:r>
        <w:rPr>
          <w:color w:val="000000"/>
        </w:rPr>
        <w:t>El ordenador del gasto, por medio de acto administrativo motivado, adjudicará el contrato al proponente ubicado en el primer puesto del orden de elegibilidad establecido en el informe de evaluación, y que cumpla con todos los requisitos exigidos en el presente pliego de condiciones o procederá a la declaratoria de desierta del proceso, si a ello hubiere lugar.</w:t>
      </w:r>
    </w:p>
    <w:p w14:paraId="1DDE93B5" w14:textId="77777777" w:rsidR="00EF2B5D" w:rsidRDefault="00EF2B5D" w:rsidP="00EF2B5D">
      <w:pPr>
        <w:ind w:right="210"/>
        <w:rPr>
          <w:color w:val="000000"/>
        </w:rPr>
      </w:pPr>
    </w:p>
    <w:p w14:paraId="7ED54637" w14:textId="77777777" w:rsidR="00EF2B5D" w:rsidRDefault="00EF2B5D" w:rsidP="00EF2B5D">
      <w:pPr>
        <w:ind w:right="-93"/>
        <w:rPr>
          <w:color w:val="000000"/>
        </w:rPr>
      </w:pPr>
      <w:r>
        <w:rPr>
          <w:color w:val="000000"/>
        </w:rPr>
        <w:t>Una vez adjudicado el contrato la Entidad hará público el resultado mediante el correspondiente acto administrativo.</w:t>
      </w:r>
    </w:p>
    <w:p w14:paraId="56F3A66A" w14:textId="77777777" w:rsidR="00EF2B5D" w:rsidRDefault="00EF2B5D" w:rsidP="00EF2B5D">
      <w:pPr>
        <w:ind w:right="-93"/>
        <w:rPr>
          <w:color w:val="000000"/>
        </w:rPr>
      </w:pPr>
    </w:p>
    <w:p w14:paraId="5C4402DA" w14:textId="77777777" w:rsidR="00EF2B5D" w:rsidRDefault="00EF2B5D" w:rsidP="00EF2B5D">
      <w:pPr>
        <w:ind w:right="-93"/>
        <w:rPr>
          <w:color w:val="000000"/>
        </w:rPr>
      </w:pPr>
      <w:r>
        <w:rPr>
          <w:color w:val="000000"/>
        </w:rPr>
        <w:t>El acto de adjudicación será publicado en el SECOP II, este es irrevocable y obliga a la Entidad y al adjudicatario. No obstante, si dentro del plazo comprendido entre la adjudicación del contrato y la suscripción del mismo, sobreviene una inhabilidad o incompatibilidad o si se demuestra que el acto se obtuvo por medios ilegales, este podrá ser revocado, caso en el cual, la Entidad podrá aplicar lo previsto en el inciso final del numeral 12 del artículo 30 de la Ley 80 de 1993.</w:t>
      </w:r>
    </w:p>
    <w:p w14:paraId="382E56F0" w14:textId="77777777" w:rsidR="00EF2B5D" w:rsidRDefault="00EF2B5D" w:rsidP="00EF2B5D">
      <w:pPr>
        <w:ind w:right="-93"/>
        <w:rPr>
          <w:color w:val="000000"/>
        </w:rPr>
      </w:pPr>
    </w:p>
    <w:p w14:paraId="64CA04AF" w14:textId="77777777" w:rsidR="00EF2B5D" w:rsidRDefault="00EF2B5D" w:rsidP="00EF2B5D">
      <w:pPr>
        <w:ind w:right="-93"/>
        <w:rPr>
          <w:color w:val="000000"/>
        </w:rPr>
      </w:pPr>
      <w:r>
        <w:rPr>
          <w:color w:val="000000"/>
        </w:rPr>
        <w:lastRenderedPageBreak/>
        <w:t>Sin perjuicio de las potestades a que se refiere el artículo 18 de la Ley 80 de 1993, en aquellos casos en que la Entidad declare la caducidad del contrato y se encuentre pendiente de ejecución un porcentaje igual o superior al cincuenta por ciento (50%) del mismo, se podrá contratar al proponente calificado en el segundo lugar en el proceso de selección respectivo, previa revisión de las condiciones a que haya lugar.</w:t>
      </w:r>
    </w:p>
    <w:p w14:paraId="3522A310" w14:textId="77777777" w:rsidR="00EF2B5D" w:rsidRDefault="00EF2B5D" w:rsidP="00EF2B5D">
      <w:pPr>
        <w:rPr>
          <w:color w:val="000000"/>
          <w:highlight w:val="white"/>
        </w:rPr>
      </w:pPr>
    </w:p>
    <w:p w14:paraId="0CD66F76" w14:textId="34EDB096" w:rsidR="00EF2B5D" w:rsidRDefault="00942B75" w:rsidP="00DC34C4">
      <w:pPr>
        <w:pStyle w:val="Ttulo2"/>
        <w:keepNext w:val="0"/>
        <w:numPr>
          <w:ilvl w:val="1"/>
          <w:numId w:val="12"/>
        </w:numPr>
        <w:ind w:left="851" w:hanging="851"/>
      </w:pPr>
      <w:r>
        <w:t>DECLARATORIA DE DESIERTA</w:t>
      </w:r>
    </w:p>
    <w:p w14:paraId="197EC2C2" w14:textId="77777777" w:rsidR="00EF2B5D" w:rsidRDefault="00EF2B5D" w:rsidP="00EF2B5D">
      <w:pPr>
        <w:ind w:right="-30"/>
      </w:pPr>
    </w:p>
    <w:p w14:paraId="2F024B7E" w14:textId="019E5F3F" w:rsidR="00EF2B5D" w:rsidRDefault="00EF2B5D" w:rsidP="00EF2B5D">
      <w:pPr>
        <w:ind w:right="105"/>
      </w:pPr>
      <w:r>
        <w:rPr>
          <w:color w:val="000000"/>
        </w:rPr>
        <w:t xml:space="preserve">La </w:t>
      </w:r>
      <w:r w:rsidR="00C065CD">
        <w:rPr>
          <w:color w:val="000000"/>
        </w:rPr>
        <w:t>UAEMC</w:t>
      </w:r>
      <w:r>
        <w:rPr>
          <w:color w:val="000000"/>
        </w:rPr>
        <w:t xml:space="preserve"> </w:t>
      </w:r>
      <w:r>
        <w:t>declarará desierto el presente proceso de selección cuando:</w:t>
      </w:r>
    </w:p>
    <w:p w14:paraId="0616F166" w14:textId="77777777" w:rsidR="00EF2B5D" w:rsidRDefault="00EF2B5D" w:rsidP="00EF2B5D">
      <w:pPr>
        <w:ind w:right="105"/>
      </w:pPr>
    </w:p>
    <w:p w14:paraId="39379A9D" w14:textId="77777777" w:rsidR="00EF2B5D" w:rsidRDefault="00EF2B5D" w:rsidP="00DC34C4">
      <w:pPr>
        <w:numPr>
          <w:ilvl w:val="0"/>
          <w:numId w:val="3"/>
        </w:numPr>
        <w:pBdr>
          <w:top w:val="nil"/>
          <w:left w:val="nil"/>
          <w:bottom w:val="nil"/>
          <w:right w:val="nil"/>
          <w:between w:val="nil"/>
        </w:pBdr>
        <w:ind w:left="426" w:right="105" w:hanging="426"/>
        <w:rPr>
          <w:color w:val="000000"/>
        </w:rPr>
      </w:pPr>
      <w:r>
        <w:rPr>
          <w:color w:val="000000"/>
        </w:rPr>
        <w:t>No se reciban ofertas.</w:t>
      </w:r>
    </w:p>
    <w:p w14:paraId="25335A98" w14:textId="77777777" w:rsidR="00EF2B5D" w:rsidRDefault="00EF2B5D" w:rsidP="00DC34C4">
      <w:pPr>
        <w:numPr>
          <w:ilvl w:val="0"/>
          <w:numId w:val="3"/>
        </w:numPr>
        <w:pBdr>
          <w:top w:val="nil"/>
          <w:left w:val="nil"/>
          <w:bottom w:val="nil"/>
          <w:right w:val="nil"/>
          <w:between w:val="nil"/>
        </w:pBdr>
        <w:ind w:left="426" w:right="105" w:hanging="426"/>
        <w:rPr>
          <w:color w:val="000000"/>
        </w:rPr>
      </w:pPr>
      <w:r>
        <w:rPr>
          <w:color w:val="000000"/>
        </w:rPr>
        <w:t>Ninguna de las ofertas resulte admisible en los factores jurídicos, técnicos y financieros previstos en el pliego de condiciones.</w:t>
      </w:r>
    </w:p>
    <w:p w14:paraId="3E273FBA" w14:textId="77777777" w:rsidR="00EF2B5D" w:rsidRDefault="00EF2B5D" w:rsidP="00DC34C4">
      <w:pPr>
        <w:numPr>
          <w:ilvl w:val="0"/>
          <w:numId w:val="3"/>
        </w:numPr>
        <w:pBdr>
          <w:top w:val="nil"/>
          <w:left w:val="nil"/>
          <w:bottom w:val="nil"/>
          <w:right w:val="nil"/>
          <w:between w:val="nil"/>
        </w:pBdr>
        <w:ind w:left="426" w:right="105" w:hanging="426"/>
        <w:rPr>
          <w:color w:val="000000"/>
        </w:rPr>
      </w:pPr>
      <w:r>
        <w:rPr>
          <w:color w:val="000000"/>
        </w:rPr>
        <w:t>Existan causas o motivos que impidan la escogencia objetiva del proponente.</w:t>
      </w:r>
    </w:p>
    <w:p w14:paraId="02C4997E" w14:textId="77777777" w:rsidR="00EF2B5D" w:rsidRDefault="00EF2B5D" w:rsidP="00DC34C4">
      <w:pPr>
        <w:numPr>
          <w:ilvl w:val="0"/>
          <w:numId w:val="3"/>
        </w:numPr>
        <w:pBdr>
          <w:top w:val="nil"/>
          <w:left w:val="nil"/>
          <w:bottom w:val="nil"/>
          <w:right w:val="nil"/>
          <w:between w:val="nil"/>
        </w:pBdr>
        <w:ind w:left="426" w:right="105" w:hanging="426"/>
        <w:rPr>
          <w:color w:val="000000"/>
        </w:rPr>
      </w:pPr>
      <w:r>
        <w:rPr>
          <w:color w:val="000000"/>
        </w:rPr>
        <w:t>Se presenten los demás casos contemplados en la normatividad vigente o en el presente pliego.</w:t>
      </w:r>
    </w:p>
    <w:p w14:paraId="4B411EDC" w14:textId="77777777" w:rsidR="00EF2B5D" w:rsidRDefault="00EF2B5D" w:rsidP="00EF2B5D">
      <w:pPr>
        <w:ind w:right="105"/>
      </w:pPr>
    </w:p>
    <w:p w14:paraId="1C49BE96" w14:textId="77777777" w:rsidR="00EF2B5D" w:rsidRDefault="00EF2B5D" w:rsidP="00EF2B5D">
      <w:r>
        <w:t>La declaratoria de desierto del proceso se hará mediante acto motivado conforme lo establecido en el numeral 18 del artículo 25 de la Ley 80 de 1993, el cual se notificará a todos los proponentes y se publicará en el SECOP II. Contra dicho acto procede únicamente el recurso de reposición, salvo que la declaratoria obedezca a la no recepción de ofertas.</w:t>
      </w:r>
    </w:p>
    <w:p w14:paraId="542130BF" w14:textId="77777777" w:rsidR="00EF2B5D" w:rsidRDefault="00EF2B5D" w:rsidP="00EF2B5D"/>
    <w:p w14:paraId="1857E854" w14:textId="77777777" w:rsidR="00EF2B5D" w:rsidRDefault="00EF2B5D" w:rsidP="00EF2B5D">
      <w:r>
        <w:t>El acto por el cual se declara desierto el proceso se notificará personalmente, de manera electrónica, a los proponentes, a través de su representante, apoderado o a la persona debidamente autorizada por el interesado para notificarse conforme lo señala el artículo 56 y siguientes de la Ley 1437 de 2011 – CPACA.</w:t>
      </w:r>
    </w:p>
    <w:p w14:paraId="7F78A94A" w14:textId="77777777" w:rsidR="00EF2B5D" w:rsidRDefault="00EF2B5D" w:rsidP="00EF2B5D">
      <w:pPr>
        <w:ind w:right="105"/>
      </w:pPr>
    </w:p>
    <w:p w14:paraId="530386B9" w14:textId="77777777" w:rsidR="00EF2B5D" w:rsidRDefault="00EF2B5D" w:rsidP="00DC34C4">
      <w:pPr>
        <w:pStyle w:val="Ttulo3"/>
        <w:numPr>
          <w:ilvl w:val="2"/>
          <w:numId w:val="12"/>
        </w:numPr>
        <w:ind w:left="851" w:hanging="851"/>
      </w:pPr>
      <w:r>
        <w:t>Causales de rechazo de las ofertas</w:t>
      </w:r>
    </w:p>
    <w:p w14:paraId="49545760" w14:textId="77777777" w:rsidR="00EF2B5D" w:rsidRDefault="00EF2B5D" w:rsidP="00EF2B5D">
      <w:pPr>
        <w:ind w:right="90"/>
      </w:pPr>
    </w:p>
    <w:p w14:paraId="43A8D47E" w14:textId="77777777" w:rsidR="00EF2B5D" w:rsidRDefault="00EF2B5D" w:rsidP="00DC34C4">
      <w:pPr>
        <w:numPr>
          <w:ilvl w:val="0"/>
          <w:numId w:val="11"/>
        </w:numPr>
        <w:ind w:left="426" w:hanging="426"/>
      </w:pPr>
      <w:bookmarkStart w:id="15" w:name="_heading=h.e8igeo5hseoj" w:colFirst="0" w:colLast="0"/>
      <w:bookmarkEnd w:id="15"/>
      <w:r>
        <w:t>Cuando el proponente se encuentre incurso en alguna de las causales de inhabilidad o incompatibilidad y/o prohibición para contratar, de conformidad con el artículo 8 de la Ley 80 de 1993, el artículo 90 del Estatuto Anticorrupción (Ley 1474 de 2011) o las demás que determine la ley.</w:t>
      </w:r>
    </w:p>
    <w:p w14:paraId="3EECBEB7" w14:textId="77777777" w:rsidR="00EF2B5D" w:rsidRDefault="00EF2B5D" w:rsidP="00DC34C4">
      <w:pPr>
        <w:numPr>
          <w:ilvl w:val="0"/>
          <w:numId w:val="11"/>
        </w:numPr>
        <w:ind w:left="426" w:hanging="426"/>
      </w:pPr>
      <w:r>
        <w:t>Cuando el proponente se encuentre inmerso en un conflicto de interés previsto en una norma de rango constitucional o legal.</w:t>
      </w:r>
    </w:p>
    <w:p w14:paraId="1B5D3D43" w14:textId="77777777" w:rsidR="00EF2B5D" w:rsidRDefault="00EF2B5D" w:rsidP="00DC34C4">
      <w:pPr>
        <w:numPr>
          <w:ilvl w:val="0"/>
          <w:numId w:val="11"/>
        </w:numPr>
        <w:pBdr>
          <w:top w:val="nil"/>
          <w:left w:val="nil"/>
          <w:bottom w:val="nil"/>
          <w:right w:val="nil"/>
          <w:between w:val="nil"/>
        </w:pBdr>
        <w:ind w:left="426" w:hanging="426"/>
        <w:rPr>
          <w:color w:val="000000"/>
        </w:rPr>
      </w:pPr>
      <w:bookmarkStart w:id="16" w:name="_heading=h.w8yx0dog48nt" w:colFirst="0" w:colLast="0"/>
      <w:bookmarkEnd w:id="16"/>
      <w:r>
        <w:rPr>
          <w:color w:val="000000"/>
        </w:rPr>
        <w:t>Cuando la propuesta se presente fuera del término del proceso, sea remitida en físico, por mensaje, correo electrónico o entregada en lugar diferente al señalado dentro de la plataforma SECOP II, con excepción de las directrices emitidas por la Agencia Nacional de Contratación Pública – CCE, en caso de indisponibilidad de la plataforma.</w:t>
      </w:r>
    </w:p>
    <w:p w14:paraId="6303F174" w14:textId="77777777" w:rsidR="00EF2B5D" w:rsidRPr="000A2B4A" w:rsidRDefault="00EF2B5D" w:rsidP="00DC34C4">
      <w:pPr>
        <w:numPr>
          <w:ilvl w:val="0"/>
          <w:numId w:val="11"/>
        </w:numPr>
        <w:pBdr>
          <w:top w:val="nil"/>
          <w:left w:val="nil"/>
          <w:bottom w:val="nil"/>
          <w:right w:val="nil"/>
          <w:between w:val="nil"/>
        </w:pBdr>
        <w:ind w:left="426" w:hanging="426"/>
      </w:pPr>
      <w:bookmarkStart w:id="17" w:name="_heading=h.g8qfguajikz4" w:colFirst="0" w:colLast="0"/>
      <w:bookmarkEnd w:id="17"/>
      <w:r w:rsidRPr="000A2B4A">
        <w:lastRenderedPageBreak/>
        <w:t xml:space="preserve">En el evento que el proceso se encuentre limitado a </w:t>
      </w:r>
      <w:proofErr w:type="spellStart"/>
      <w:r w:rsidRPr="000A2B4A">
        <w:t>Mipyme</w:t>
      </w:r>
      <w:proofErr w:type="spellEnd"/>
      <w:r w:rsidRPr="000A2B4A">
        <w:t xml:space="preserve"> </w:t>
      </w:r>
      <w:r w:rsidRPr="00E8495F">
        <w:rPr>
          <w:color w:val="C00000"/>
        </w:rPr>
        <w:t>[</w:t>
      </w:r>
      <w:r w:rsidRPr="00E8495F">
        <w:rPr>
          <w:b/>
          <w:bCs/>
          <w:color w:val="C00000"/>
        </w:rPr>
        <w:t>Seleccione</w:t>
      </w:r>
      <w:r w:rsidRPr="00E8495F">
        <w:rPr>
          <w:color w:val="C00000"/>
        </w:rPr>
        <w:t>: Nacional / Departamental / Municipal)]</w:t>
      </w:r>
      <w:r w:rsidRPr="000A2B4A">
        <w:t xml:space="preserve"> se considerará como causal de rechazo la oferta que provenga de aquel proponente que no ostente dicha condición.</w:t>
      </w:r>
    </w:p>
    <w:p w14:paraId="2952DF3C" w14:textId="77777777" w:rsidR="00EF2B5D" w:rsidRDefault="00EF2B5D" w:rsidP="00DC34C4">
      <w:pPr>
        <w:numPr>
          <w:ilvl w:val="0"/>
          <w:numId w:val="11"/>
        </w:numPr>
        <w:ind w:left="426" w:hanging="426"/>
      </w:pPr>
      <w:r>
        <w:t>Cuando la propuesta presentada no cumpla con los requerimientos mínimos establecidos en el Pliego de condiciones, sus anexos, formatos y adendas vigentes y no hubiere posibilidad de aclaración o subsanación conforme a lo previsto en él mismo y en la ley.</w:t>
      </w:r>
    </w:p>
    <w:p w14:paraId="6B4AD071" w14:textId="77777777" w:rsidR="00EF2B5D" w:rsidRDefault="00EF2B5D" w:rsidP="00DC34C4">
      <w:pPr>
        <w:numPr>
          <w:ilvl w:val="0"/>
          <w:numId w:val="11"/>
        </w:numPr>
        <w:ind w:left="426" w:hanging="426"/>
      </w:pPr>
      <w:r>
        <w:rPr>
          <w:color w:val="000000"/>
        </w:rPr>
        <w:t>Cuando el proponente singular o plural presente su oferta desde una cuenta diferente a la propia, constituida en forma asociativa, de conformidad con lo indicado por Colombia Compra Eficiente en los manuales de uso de SECOP II. </w:t>
      </w:r>
    </w:p>
    <w:p w14:paraId="302B827A" w14:textId="77777777" w:rsidR="00EF2B5D" w:rsidRDefault="00EF2B5D" w:rsidP="00DC34C4">
      <w:pPr>
        <w:numPr>
          <w:ilvl w:val="0"/>
          <w:numId w:val="11"/>
        </w:numPr>
        <w:ind w:left="426" w:hanging="426"/>
      </w:pPr>
      <w:r>
        <w:t>Cuando la propuesta sea presentada por personas jurídicamente incapaces para obligarse.</w:t>
      </w:r>
    </w:p>
    <w:p w14:paraId="10394CE1" w14:textId="77777777" w:rsidR="00EF2B5D" w:rsidRDefault="00EF2B5D" w:rsidP="00DC34C4">
      <w:pPr>
        <w:numPr>
          <w:ilvl w:val="0"/>
          <w:numId w:val="11"/>
        </w:numPr>
        <w:ind w:left="426" w:hanging="426"/>
      </w:pPr>
      <w:r>
        <w:t>Cuando el representante legal del proponente o de alguno de los integrantes del Consorcio o Unión temporal no se encuentre debidamente autorizado para presentar la propuesta y firmar el contrato de acuerdo con los estatutos sociales.</w:t>
      </w:r>
    </w:p>
    <w:p w14:paraId="0146FCF4" w14:textId="77777777" w:rsidR="00EF2B5D" w:rsidRDefault="00EF2B5D" w:rsidP="00DC34C4">
      <w:pPr>
        <w:numPr>
          <w:ilvl w:val="0"/>
          <w:numId w:val="11"/>
        </w:numPr>
        <w:pBdr>
          <w:top w:val="nil"/>
          <w:left w:val="nil"/>
          <w:bottom w:val="nil"/>
          <w:right w:val="nil"/>
          <w:between w:val="nil"/>
        </w:pBdr>
        <w:ind w:left="426" w:hanging="426"/>
        <w:rPr>
          <w:color w:val="000000"/>
        </w:rPr>
      </w:pPr>
      <w:bookmarkStart w:id="18" w:name="_heading=h.j6tbahm2ch25" w:colFirst="0" w:colLast="0"/>
      <w:bookmarkEnd w:id="18"/>
      <w:r>
        <w:rPr>
          <w:color w:val="000000"/>
        </w:rPr>
        <w:t>Cuando el proponente o alguno de los integrantes del Consorcio o Unión temporal, según el caso, registre antecedentes judiciales consistentes en sentencia judicial condenatoria con pena accesoria de interdicción de derechos y funciones públicas o se encuentre vinculado en el Sistema Nacional de Medidas Correctivas como infractor de la Ley 1801 de 2016.</w:t>
      </w:r>
    </w:p>
    <w:p w14:paraId="1B62CC5F" w14:textId="77777777" w:rsidR="00EF2B5D" w:rsidRDefault="00EF2B5D" w:rsidP="00DC34C4">
      <w:pPr>
        <w:numPr>
          <w:ilvl w:val="0"/>
          <w:numId w:val="11"/>
        </w:numPr>
        <w:pBdr>
          <w:top w:val="nil"/>
          <w:left w:val="nil"/>
          <w:bottom w:val="nil"/>
          <w:right w:val="nil"/>
          <w:between w:val="nil"/>
        </w:pBdr>
        <w:ind w:left="426" w:hanging="426"/>
        <w:rPr>
          <w:color w:val="000000"/>
        </w:rPr>
      </w:pPr>
      <w:r>
        <w:rPr>
          <w:color w:val="000000"/>
        </w:rPr>
        <w:t>Que la persona jurídica proponente individual o integrante del proponente plural esté incursa en la situación descrita en el numeral 1 del artículo 38 de la Ley 1116 de 2006.</w:t>
      </w:r>
    </w:p>
    <w:p w14:paraId="3847270A" w14:textId="77777777" w:rsidR="00EF2B5D" w:rsidRDefault="00EF2B5D" w:rsidP="00DC34C4">
      <w:pPr>
        <w:numPr>
          <w:ilvl w:val="0"/>
          <w:numId w:val="11"/>
        </w:numPr>
        <w:ind w:left="426" w:hanging="426"/>
      </w:pPr>
      <w:r>
        <w:t>Cuando para un mismo proceso, una sociedad y su filial y/o subsidiaria, presenten propuestas en forma separada. En este caso se rechazará la propuesta radicada en segundo lugar y siguientes, de acuerdo con el acta de cierre.</w:t>
      </w:r>
    </w:p>
    <w:p w14:paraId="1CB17766" w14:textId="34AB59CA" w:rsidR="00EF2B5D" w:rsidRDefault="00EF2B5D" w:rsidP="00DC34C4">
      <w:pPr>
        <w:numPr>
          <w:ilvl w:val="0"/>
          <w:numId w:val="11"/>
        </w:numPr>
        <w:pBdr>
          <w:top w:val="nil"/>
          <w:left w:val="nil"/>
          <w:bottom w:val="nil"/>
          <w:right w:val="nil"/>
          <w:between w:val="nil"/>
        </w:pBdr>
        <w:ind w:left="426" w:hanging="426"/>
      </w:pPr>
      <w:r>
        <w:t>Que la inscripción del Registro Único de Proponentes (RUP) que realice el oferente, por primera vez o cuando han cesado sus efectos y deb</w:t>
      </w:r>
      <w:r w:rsidR="005A33DC">
        <w:t>a</w:t>
      </w:r>
      <w:r>
        <w:t xml:space="preserve"> volver a inscribirse, no esté en firme en la fecha prevista para el cierre del proceso de contratación.</w:t>
      </w:r>
    </w:p>
    <w:p w14:paraId="744C26E4" w14:textId="77777777" w:rsidR="00EF2B5D" w:rsidRDefault="00EF2B5D" w:rsidP="00DC34C4">
      <w:pPr>
        <w:numPr>
          <w:ilvl w:val="0"/>
          <w:numId w:val="11"/>
        </w:numPr>
        <w:ind w:left="426" w:hanging="426"/>
      </w:pPr>
      <w:r>
        <w:t>Cuando el objeto social o la información consignada en el RUP de la persona jurídica singular, la actividad comercial de la persona natural o el objeto social de alguno de los miembros que conforman la estructura plural del proponente no permita ejecutar las actividades descritas en el objeto del proceso de selección.</w:t>
      </w:r>
    </w:p>
    <w:p w14:paraId="287CE387" w14:textId="77777777" w:rsidR="00EF2B5D" w:rsidRDefault="00EF2B5D" w:rsidP="00DC34C4">
      <w:pPr>
        <w:numPr>
          <w:ilvl w:val="0"/>
          <w:numId w:val="11"/>
        </w:numPr>
        <w:ind w:left="426" w:hanging="426"/>
      </w:pPr>
      <w:r>
        <w:t xml:space="preserve">Cuando para este </w:t>
      </w:r>
      <w:r>
        <w:rPr>
          <w:color w:val="000000"/>
        </w:rPr>
        <w:t>proceso o para cada lote</w:t>
      </w:r>
      <w:r>
        <w:t xml:space="preserve"> el proponente singular o plural o los socios que integran la persona jurídica (singular o plural) presenten o hagan parte de varias propuestas, se rechazarán las propuestas en las que participen.</w:t>
      </w:r>
    </w:p>
    <w:p w14:paraId="5A317EB1" w14:textId="77777777" w:rsidR="00EF2B5D" w:rsidRDefault="00EF2B5D" w:rsidP="00DC34C4">
      <w:pPr>
        <w:numPr>
          <w:ilvl w:val="0"/>
          <w:numId w:val="11"/>
        </w:numPr>
        <w:ind w:left="426" w:hanging="426"/>
      </w:pPr>
      <w:r>
        <w:t>Cuando se compruebe que los documentos presentados por el proponente contienen información imprecisa, inexacta o que de cualquier manera genere confusión para la Entidad, caso en el cual se iniciarán las acciones correspondientes, si a ello hubiere lugar.</w:t>
      </w:r>
    </w:p>
    <w:p w14:paraId="37D64589" w14:textId="77777777" w:rsidR="00EF2B5D" w:rsidRDefault="00EF2B5D" w:rsidP="00DC34C4">
      <w:pPr>
        <w:numPr>
          <w:ilvl w:val="0"/>
          <w:numId w:val="11"/>
        </w:numPr>
        <w:ind w:left="426" w:hanging="426"/>
      </w:pPr>
      <w:r>
        <w:t>Cuando se compruebe que el proponente ha influido o presionado sobre el estudio de las ofertas.</w:t>
      </w:r>
    </w:p>
    <w:p w14:paraId="32366E90" w14:textId="77777777" w:rsidR="00EF2B5D" w:rsidRDefault="00EF2B5D" w:rsidP="00DC34C4">
      <w:pPr>
        <w:numPr>
          <w:ilvl w:val="0"/>
          <w:numId w:val="11"/>
        </w:numPr>
        <w:ind w:left="426" w:hanging="426"/>
      </w:pPr>
      <w:r>
        <w:t>Cuando no se entregue la garantía de seriedad, junto con la oferta, al momento de cierre del proceso.</w:t>
      </w:r>
    </w:p>
    <w:p w14:paraId="6D3C6353" w14:textId="77777777" w:rsidR="00EF2B5D" w:rsidRDefault="00EF2B5D" w:rsidP="00DC34C4">
      <w:pPr>
        <w:numPr>
          <w:ilvl w:val="0"/>
          <w:numId w:val="11"/>
        </w:numPr>
        <w:ind w:left="426" w:hanging="426"/>
      </w:pPr>
      <w:r>
        <w:lastRenderedPageBreak/>
        <w:t>Cuando el proponente presente su oferta con algún tipo de condicionamiento, en cualquiera de los documentos de la propuesta.</w:t>
      </w:r>
    </w:p>
    <w:p w14:paraId="40BB5F43" w14:textId="77777777" w:rsidR="00EF2B5D" w:rsidRDefault="00EF2B5D" w:rsidP="00DC34C4">
      <w:pPr>
        <w:numPr>
          <w:ilvl w:val="0"/>
          <w:numId w:val="11"/>
        </w:numPr>
        <w:ind w:left="426" w:hanging="426"/>
      </w:pPr>
      <w:r>
        <w:t>Cuando el proponente, dentro del término previsto en la solicitud que se realice, no responda al requerimiento que haga la Entidad para subsanar o aclarar la oferta.</w:t>
      </w:r>
    </w:p>
    <w:p w14:paraId="6F426DC5" w14:textId="77777777" w:rsidR="00EF2B5D" w:rsidRDefault="00EF2B5D" w:rsidP="00DC34C4">
      <w:pPr>
        <w:numPr>
          <w:ilvl w:val="0"/>
          <w:numId w:val="11"/>
        </w:numPr>
        <w:ind w:left="426" w:hanging="426"/>
      </w:pPr>
      <w:bookmarkStart w:id="19" w:name="_heading=h.bnop3uq33pgf" w:colFirst="0" w:colLast="0"/>
      <w:bookmarkEnd w:id="19"/>
      <w:r>
        <w:t>Cuando el proponente allegue documentos de subsanación, pero no acredite el cumplimiento total de los requisitos habilitantes requeridos por la Entidad.</w:t>
      </w:r>
    </w:p>
    <w:p w14:paraId="627A1600" w14:textId="77777777" w:rsidR="00EF2B5D" w:rsidRDefault="00EF2B5D" w:rsidP="00DC34C4">
      <w:pPr>
        <w:numPr>
          <w:ilvl w:val="0"/>
          <w:numId w:val="11"/>
        </w:numPr>
        <w:pBdr>
          <w:top w:val="nil"/>
          <w:left w:val="nil"/>
          <w:bottom w:val="nil"/>
          <w:right w:val="nil"/>
          <w:between w:val="nil"/>
        </w:pBdr>
        <w:ind w:left="426" w:hanging="426"/>
        <w:rPr>
          <w:color w:val="000000"/>
        </w:rPr>
      </w:pPr>
      <w:r>
        <w:rPr>
          <w:color w:val="000000"/>
        </w:rPr>
        <w:t>Cuando formule una oferta en la que se fijen condiciones económicas y de contrataciones artificiales, debidamente evidenciadas una vez surtido el debido proceso o ante la ausencia de respuesta del oferente a las aclaraciones solicitadas, dentro del término dispuesto para ello o cuando las explicaciones rendidas no respondan a circunstancias objetivas del oferente y de su oferta.</w:t>
      </w:r>
    </w:p>
    <w:p w14:paraId="00AAEC86" w14:textId="77777777" w:rsidR="00EF2B5D" w:rsidRDefault="00EF2B5D" w:rsidP="00DC34C4">
      <w:pPr>
        <w:numPr>
          <w:ilvl w:val="0"/>
          <w:numId w:val="11"/>
        </w:numPr>
        <w:ind w:left="426" w:hanging="426"/>
      </w:pPr>
      <w:r>
        <w:t>Cuando se modifique la conformación, integración o tipología de la figura asociativa, luego de presentada la oferta.</w:t>
      </w:r>
    </w:p>
    <w:p w14:paraId="38408116" w14:textId="77777777" w:rsidR="00EF2B5D" w:rsidRDefault="00EF2B5D" w:rsidP="00DC34C4">
      <w:pPr>
        <w:numPr>
          <w:ilvl w:val="0"/>
          <w:numId w:val="11"/>
        </w:numPr>
        <w:ind w:left="426" w:hanging="426"/>
      </w:pPr>
      <w:r>
        <w:t>Cuando se omita, modifique, adicione, suprima o altere uno o varias de ítems, descripciones o cantidades de la oferta económica.</w:t>
      </w:r>
    </w:p>
    <w:p w14:paraId="1DA4E982" w14:textId="77777777" w:rsidR="00EF2B5D" w:rsidRDefault="00EF2B5D" w:rsidP="00DC34C4">
      <w:pPr>
        <w:numPr>
          <w:ilvl w:val="0"/>
          <w:numId w:val="11"/>
        </w:numPr>
        <w:pBdr>
          <w:top w:val="nil"/>
          <w:left w:val="nil"/>
          <w:bottom w:val="nil"/>
          <w:right w:val="nil"/>
          <w:between w:val="nil"/>
        </w:pBdr>
        <w:ind w:left="426" w:hanging="426"/>
        <w:rPr>
          <w:color w:val="000000"/>
        </w:rPr>
      </w:pPr>
      <w:bookmarkStart w:id="20" w:name="_heading=h.a5d1giuth25i" w:colFirst="0" w:colLast="0"/>
      <w:bookmarkEnd w:id="20"/>
      <w:r>
        <w:rPr>
          <w:color w:val="000000"/>
        </w:rPr>
        <w:t>Cuando no se ofrezca el valor de un precio unitario o el mismo se ofrezca en cero (0) pesos.</w:t>
      </w:r>
    </w:p>
    <w:p w14:paraId="5A9EEE3A" w14:textId="77777777" w:rsidR="00EF2B5D" w:rsidRDefault="00EF2B5D" w:rsidP="00DC34C4">
      <w:pPr>
        <w:numPr>
          <w:ilvl w:val="0"/>
          <w:numId w:val="11"/>
        </w:numPr>
        <w:pBdr>
          <w:top w:val="nil"/>
          <w:left w:val="nil"/>
          <w:bottom w:val="nil"/>
          <w:right w:val="nil"/>
          <w:between w:val="nil"/>
        </w:pBdr>
        <w:ind w:left="426" w:hanging="426"/>
        <w:rPr>
          <w:color w:val="000000"/>
        </w:rPr>
      </w:pPr>
      <w:bookmarkStart w:id="21" w:name="_heading=h.qcpsxqjguxu9" w:colFirst="0" w:colLast="0"/>
      <w:bookmarkEnd w:id="21"/>
      <w:r>
        <w:rPr>
          <w:color w:val="000000"/>
        </w:rPr>
        <w:t>Ofertar un valor unitario superior al precio de referencia para cada ítem previsto en el Análisis y Estudio del sector, cuando el proceso se estructure a precios unitarios.</w:t>
      </w:r>
    </w:p>
    <w:p w14:paraId="1E260449" w14:textId="77777777" w:rsidR="00EF2B5D" w:rsidRDefault="00EF2B5D" w:rsidP="00DC34C4">
      <w:pPr>
        <w:numPr>
          <w:ilvl w:val="0"/>
          <w:numId w:val="11"/>
        </w:numPr>
        <w:pBdr>
          <w:top w:val="nil"/>
          <w:left w:val="nil"/>
          <w:bottom w:val="nil"/>
          <w:right w:val="nil"/>
          <w:between w:val="nil"/>
        </w:pBdr>
        <w:ind w:left="426" w:hanging="426"/>
        <w:rPr>
          <w:color w:val="000000"/>
        </w:rPr>
      </w:pPr>
      <w:bookmarkStart w:id="22" w:name="_heading=h.7c7dli44uqbp" w:colFirst="0" w:colLast="0"/>
      <w:bookmarkEnd w:id="22"/>
      <w:r>
        <w:rPr>
          <w:color w:val="000000"/>
        </w:rPr>
        <w:t xml:space="preserve">Cuando el valor de la propuesta económica exceda el del presupuesto oficial, siempre y cuando el proceso </w:t>
      </w:r>
      <w:r>
        <w:rPr>
          <w:b/>
          <w:color w:val="000000"/>
        </w:rPr>
        <w:t>NO</w:t>
      </w:r>
      <w:r>
        <w:rPr>
          <w:color w:val="000000"/>
        </w:rPr>
        <w:t xml:space="preserve"> se estructure a precios unitarios.</w:t>
      </w:r>
    </w:p>
    <w:p w14:paraId="337F167F" w14:textId="77777777" w:rsidR="00EF2B5D" w:rsidRDefault="00EF2B5D" w:rsidP="00DC34C4">
      <w:pPr>
        <w:numPr>
          <w:ilvl w:val="0"/>
          <w:numId w:val="11"/>
        </w:numPr>
        <w:pBdr>
          <w:top w:val="nil"/>
          <w:left w:val="nil"/>
          <w:bottom w:val="nil"/>
          <w:right w:val="nil"/>
          <w:between w:val="nil"/>
        </w:pBdr>
        <w:ind w:left="426" w:hanging="426"/>
        <w:rPr>
          <w:color w:val="000000"/>
        </w:rPr>
      </w:pPr>
      <w:bookmarkStart w:id="23" w:name="_heading=h.ncctdgczl86w" w:colFirst="0" w:colLast="0"/>
      <w:bookmarkEnd w:id="23"/>
      <w:r>
        <w:rPr>
          <w:color w:val="000000"/>
        </w:rPr>
        <w:t>Ofertar valores diferentes de un mismo ítem en dos o más lotes dentro del mismo proceso.</w:t>
      </w:r>
    </w:p>
    <w:p w14:paraId="2D8EE5E6" w14:textId="77777777" w:rsidR="00EF2B5D" w:rsidRDefault="00EF2B5D" w:rsidP="00DC34C4">
      <w:pPr>
        <w:numPr>
          <w:ilvl w:val="0"/>
          <w:numId w:val="11"/>
        </w:numPr>
        <w:pBdr>
          <w:top w:val="nil"/>
          <w:left w:val="nil"/>
          <w:bottom w:val="nil"/>
          <w:right w:val="nil"/>
          <w:between w:val="nil"/>
        </w:pBdr>
        <w:ind w:left="426" w:hanging="426"/>
        <w:rPr>
          <w:color w:val="000000"/>
        </w:rPr>
      </w:pPr>
      <w:bookmarkStart w:id="24" w:name="_heading=h.wn26dm9u33q" w:colFirst="0" w:colLast="0"/>
      <w:bookmarkEnd w:id="24"/>
      <w:r>
        <w:rPr>
          <w:color w:val="000000"/>
        </w:rPr>
        <w:t>Cuando se presenten propuesta parcial y esta posibilidad no haya sido establecida en el pliego de condiciones.</w:t>
      </w:r>
    </w:p>
    <w:p w14:paraId="5E166146" w14:textId="77777777" w:rsidR="00EF2B5D" w:rsidRDefault="00EF2B5D" w:rsidP="00DC34C4">
      <w:pPr>
        <w:numPr>
          <w:ilvl w:val="0"/>
          <w:numId w:val="11"/>
        </w:numPr>
        <w:pBdr>
          <w:top w:val="nil"/>
          <w:left w:val="nil"/>
          <w:bottom w:val="nil"/>
          <w:right w:val="nil"/>
          <w:between w:val="nil"/>
        </w:pBdr>
        <w:ind w:left="426" w:hanging="426"/>
        <w:rPr>
          <w:color w:val="000000"/>
        </w:rPr>
      </w:pPr>
      <w:bookmarkStart w:id="25" w:name="_heading=h.wxvtnw362qel" w:colFirst="0" w:colLast="0"/>
      <w:bookmarkEnd w:id="25"/>
      <w:r>
        <w:rPr>
          <w:color w:val="000000"/>
        </w:rPr>
        <w:t>Los demás casos expresamente establecidos en la ley o en el pliego de condiciones.</w:t>
      </w:r>
    </w:p>
    <w:p w14:paraId="1B9EA787" w14:textId="77777777" w:rsidR="00EF2B5D" w:rsidRDefault="00EF2B5D" w:rsidP="00EF2B5D"/>
    <w:p w14:paraId="308DAB81" w14:textId="77777777" w:rsidR="00EF2B5D" w:rsidRPr="00123DA2" w:rsidRDefault="00EF2B5D" w:rsidP="00EF2B5D">
      <w:pPr>
        <w:rPr>
          <w:color w:val="C00000"/>
        </w:rPr>
      </w:pPr>
      <w:r w:rsidRPr="00123DA2">
        <w:rPr>
          <w:color w:val="C00000"/>
        </w:rPr>
        <w:t>[Se pueden incluir causales adicionales, según se hayan evidenciado en procesos anteriores. En todo caso, se incluyen algunas causales, a título ejemplificativo, para que sean tenidas en cuenta según el tipo de proceso o contrato:</w:t>
      </w:r>
    </w:p>
    <w:p w14:paraId="45F935F3" w14:textId="4B89A886" w:rsidR="00EF2B5D" w:rsidRPr="00123DA2" w:rsidRDefault="00EF2B5D" w:rsidP="00DC34C4">
      <w:pPr>
        <w:numPr>
          <w:ilvl w:val="3"/>
          <w:numId w:val="5"/>
        </w:numPr>
        <w:pBdr>
          <w:top w:val="nil"/>
          <w:left w:val="nil"/>
          <w:bottom w:val="nil"/>
          <w:right w:val="nil"/>
          <w:between w:val="nil"/>
        </w:pBdr>
        <w:ind w:left="426" w:hanging="426"/>
        <w:rPr>
          <w:color w:val="C00000"/>
        </w:rPr>
      </w:pPr>
      <w:bookmarkStart w:id="26" w:name="_heading=h.kr56a5o94xs1" w:colFirst="0" w:colLast="0"/>
      <w:bookmarkEnd w:id="26"/>
      <w:r w:rsidRPr="00123DA2">
        <w:rPr>
          <w:color w:val="C00000"/>
        </w:rPr>
        <w:t xml:space="preserve">Cuando la oferta supere el factor multiplicador definido o supere el porcentaje (%) de Administración y/o Utilidad determinados por la </w:t>
      </w:r>
      <w:r w:rsidR="00C065CD" w:rsidRPr="00123DA2">
        <w:rPr>
          <w:color w:val="C00000"/>
        </w:rPr>
        <w:t>UAEMC</w:t>
      </w:r>
      <w:r w:rsidRPr="00123DA2">
        <w:rPr>
          <w:color w:val="C00000"/>
        </w:rPr>
        <w:t>.</w:t>
      </w:r>
    </w:p>
    <w:p w14:paraId="04978D10" w14:textId="77777777" w:rsidR="00EF2B5D" w:rsidRPr="00123DA2" w:rsidRDefault="00EF2B5D" w:rsidP="00DC34C4">
      <w:pPr>
        <w:numPr>
          <w:ilvl w:val="3"/>
          <w:numId w:val="5"/>
        </w:numPr>
        <w:pBdr>
          <w:top w:val="nil"/>
          <w:left w:val="nil"/>
          <w:bottom w:val="nil"/>
          <w:right w:val="nil"/>
          <w:between w:val="nil"/>
        </w:pBdr>
        <w:ind w:left="426" w:hanging="426"/>
        <w:rPr>
          <w:color w:val="C00000"/>
        </w:rPr>
      </w:pPr>
      <w:r w:rsidRPr="00123DA2">
        <w:rPr>
          <w:color w:val="C00000"/>
        </w:rPr>
        <w:t>Cuando no se informen todos los contratos que el proponente tenga en ejecución antes del cierre, necesarios para acreditar su capacidad residual.</w:t>
      </w:r>
    </w:p>
    <w:p w14:paraId="450B53DD" w14:textId="77777777" w:rsidR="00EF2B5D" w:rsidRPr="00123DA2" w:rsidRDefault="00EF2B5D" w:rsidP="00DC34C4">
      <w:pPr>
        <w:numPr>
          <w:ilvl w:val="3"/>
          <w:numId w:val="5"/>
        </w:numPr>
        <w:pBdr>
          <w:top w:val="nil"/>
          <w:left w:val="nil"/>
          <w:bottom w:val="nil"/>
          <w:right w:val="nil"/>
          <w:between w:val="nil"/>
        </w:pBdr>
        <w:ind w:left="426" w:hanging="426"/>
        <w:rPr>
          <w:color w:val="C00000"/>
        </w:rPr>
      </w:pPr>
      <w:r w:rsidRPr="00123DA2">
        <w:rPr>
          <w:color w:val="C00000"/>
        </w:rPr>
        <w:t>Cuando al aplicar la corrección aritmética en la oferta económica esta supere el porcentaje determinado de acuerdo con los ítems unitarios o el presupuesto oficial del proceso.</w:t>
      </w:r>
    </w:p>
    <w:p w14:paraId="5E9D0FD6" w14:textId="77777777" w:rsidR="00EF2B5D" w:rsidRPr="00123DA2" w:rsidRDefault="00EF2B5D" w:rsidP="00DC34C4">
      <w:pPr>
        <w:numPr>
          <w:ilvl w:val="3"/>
          <w:numId w:val="5"/>
        </w:numPr>
        <w:pBdr>
          <w:top w:val="nil"/>
          <w:left w:val="nil"/>
          <w:bottom w:val="nil"/>
          <w:right w:val="nil"/>
          <w:between w:val="nil"/>
        </w:pBdr>
        <w:ind w:left="426" w:hanging="426"/>
        <w:rPr>
          <w:color w:val="C00000"/>
        </w:rPr>
      </w:pPr>
      <w:r w:rsidRPr="00123DA2">
        <w:rPr>
          <w:color w:val="C00000"/>
        </w:rPr>
        <w:t>Cuando en el evento de subasta inversa se presente error de digitación atribuible al proponente con ocasión de los lances presentados.</w:t>
      </w:r>
    </w:p>
    <w:p w14:paraId="4A757AAE" w14:textId="77777777" w:rsidR="00EF2B5D" w:rsidRDefault="00EF2B5D" w:rsidP="00EF2B5D">
      <w:pPr>
        <w:ind w:right="120"/>
        <w:rPr>
          <w:color w:val="000000"/>
        </w:rPr>
      </w:pPr>
    </w:p>
    <w:p w14:paraId="17F03B4E" w14:textId="77777777" w:rsidR="00EF2B5D" w:rsidRPr="00123DA2" w:rsidRDefault="00EF2B5D" w:rsidP="00EF2B5D">
      <w:pPr>
        <w:rPr>
          <w:color w:val="C00000"/>
          <w:sz w:val="20"/>
        </w:rPr>
      </w:pPr>
      <w:bookmarkStart w:id="27" w:name="_heading=h.3j6b21m8lpg6" w:colFirst="0" w:colLast="0"/>
      <w:bookmarkEnd w:id="27"/>
      <w:r w:rsidRPr="00EF2B5D">
        <w:rPr>
          <w:sz w:val="20"/>
        </w:rPr>
        <w:t>Elaboró:</w:t>
      </w:r>
      <w:r w:rsidRPr="00EF2B5D">
        <w:rPr>
          <w:color w:val="E36C09"/>
          <w:sz w:val="20"/>
        </w:rPr>
        <w:t xml:space="preserve"> </w:t>
      </w:r>
      <w:r w:rsidRPr="00E8495F">
        <w:rPr>
          <w:color w:val="C00000"/>
          <w:sz w:val="20"/>
        </w:rPr>
        <w:t>[</w:t>
      </w:r>
      <w:r w:rsidRPr="00123DA2">
        <w:rPr>
          <w:color w:val="C00000"/>
          <w:sz w:val="20"/>
        </w:rPr>
        <w:t>Nombre de la persona que elaboró el documento] – [Cargo de la persona]</w:t>
      </w:r>
    </w:p>
    <w:p w14:paraId="66E126DA" w14:textId="41F4F88C" w:rsidR="006E2CD8" w:rsidRPr="00BD212C" w:rsidRDefault="006E2CD8" w:rsidP="006E2CD8">
      <w:pPr>
        <w:jc w:val="left"/>
      </w:pPr>
    </w:p>
    <w:sectPr w:rsidR="006E2CD8" w:rsidRPr="00BD212C" w:rsidSect="00E0662E">
      <w:headerReference w:type="default" r:id="rId13"/>
      <w:footerReference w:type="default" r:id="rId14"/>
      <w:pgSz w:w="12240" w:h="15840" w:code="1"/>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5E37C" w14:textId="77777777" w:rsidR="001147F8" w:rsidRDefault="001147F8" w:rsidP="00F34757">
      <w:pPr>
        <w:spacing w:line="240" w:lineRule="auto"/>
      </w:pPr>
      <w:r>
        <w:separator/>
      </w:r>
    </w:p>
  </w:endnote>
  <w:endnote w:type="continuationSeparator" w:id="0">
    <w:p w14:paraId="398D6FBF" w14:textId="77777777" w:rsidR="001147F8" w:rsidRDefault="001147F8" w:rsidP="00F347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doni MT">
    <w:panose1 w:val="02070603080606020203"/>
    <w:charset w:val="00"/>
    <w:family w:val="roman"/>
    <w:pitch w:val="variable"/>
    <w:sig w:usb0="00000003" w:usb1="00000000" w:usb2="00000000" w:usb3="00000000" w:csb0="00000001" w:csb1="00000000"/>
  </w:font>
  <w:font w:name="CIDFont+F2">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4B773" w14:textId="24922769" w:rsidR="00843F49" w:rsidRPr="009B4F4E" w:rsidRDefault="001D1BC7" w:rsidP="001D1BC7">
    <w:pPr>
      <w:pStyle w:val="Piedepgina"/>
      <w:rPr>
        <w:rFonts w:cs="Arial"/>
        <w:color w:val="808080"/>
        <w:sz w:val="16"/>
      </w:rPr>
    </w:pPr>
    <w:r>
      <w:rPr>
        <w:rFonts w:cs="Arial"/>
        <w:sz w:val="16"/>
        <w:szCs w:val="16"/>
        <w:lang w:val="es-ES"/>
      </w:rPr>
      <w:t xml:space="preserve"> </w:t>
    </w:r>
    <w:r>
      <w:rPr>
        <w:rFonts w:cs="Arial"/>
        <w:sz w:val="16"/>
        <w:szCs w:val="16"/>
        <w:lang w:val="es-ES"/>
      </w:rPr>
      <w:tab/>
    </w:r>
    <w:r w:rsidR="00611B8A">
      <w:rPr>
        <w:rFonts w:cs="Arial"/>
        <w:sz w:val="16"/>
        <w:szCs w:val="16"/>
        <w:lang w:val="es-ES"/>
      </w:rPr>
      <w:tab/>
    </w:r>
    <w:r w:rsidR="00843F49" w:rsidRPr="00B45BB9">
      <w:rPr>
        <w:rFonts w:cs="Arial"/>
        <w:sz w:val="16"/>
        <w:szCs w:val="16"/>
        <w:lang w:val="es-ES"/>
      </w:rPr>
      <w:t xml:space="preserve">Página </w:t>
    </w:r>
    <w:r w:rsidR="00843F49" w:rsidRPr="00B45BB9">
      <w:rPr>
        <w:rFonts w:cs="Arial"/>
        <w:sz w:val="16"/>
        <w:szCs w:val="16"/>
      </w:rPr>
      <w:fldChar w:fldCharType="begin"/>
    </w:r>
    <w:r w:rsidR="00843F49" w:rsidRPr="00B45BB9">
      <w:rPr>
        <w:rFonts w:cs="Arial"/>
        <w:sz w:val="16"/>
        <w:szCs w:val="16"/>
      </w:rPr>
      <w:instrText>PAGE  \* Arabic  \* MERGEFORMAT</w:instrText>
    </w:r>
    <w:r w:rsidR="00843F49" w:rsidRPr="00B45BB9">
      <w:rPr>
        <w:rFonts w:cs="Arial"/>
        <w:sz w:val="16"/>
        <w:szCs w:val="16"/>
      </w:rPr>
      <w:fldChar w:fldCharType="separate"/>
    </w:r>
    <w:r w:rsidR="00843F49" w:rsidRPr="00A45360">
      <w:rPr>
        <w:rFonts w:cs="Arial"/>
        <w:noProof/>
        <w:sz w:val="16"/>
        <w:szCs w:val="16"/>
        <w:lang w:val="es-ES"/>
      </w:rPr>
      <w:t>1</w:t>
    </w:r>
    <w:r w:rsidR="00843F49" w:rsidRPr="00B45BB9">
      <w:rPr>
        <w:rFonts w:cs="Arial"/>
        <w:sz w:val="16"/>
        <w:szCs w:val="16"/>
      </w:rPr>
      <w:fldChar w:fldCharType="end"/>
    </w:r>
    <w:r w:rsidR="00843F49" w:rsidRPr="00B45BB9">
      <w:rPr>
        <w:rFonts w:cs="Arial"/>
        <w:sz w:val="16"/>
        <w:szCs w:val="16"/>
        <w:lang w:val="es-ES"/>
      </w:rPr>
      <w:t xml:space="preserve"> de </w:t>
    </w:r>
    <w:r w:rsidR="00843F49" w:rsidRPr="00B45BB9">
      <w:rPr>
        <w:rFonts w:cs="Arial"/>
        <w:sz w:val="16"/>
        <w:szCs w:val="16"/>
      </w:rPr>
      <w:fldChar w:fldCharType="begin"/>
    </w:r>
    <w:r w:rsidR="00843F49" w:rsidRPr="00B45BB9">
      <w:rPr>
        <w:rFonts w:cs="Arial"/>
        <w:sz w:val="16"/>
        <w:szCs w:val="16"/>
      </w:rPr>
      <w:instrText>NUMPAGES  \* Arabic  \* MERGEFORMAT</w:instrText>
    </w:r>
    <w:r w:rsidR="00843F49" w:rsidRPr="00B45BB9">
      <w:rPr>
        <w:rFonts w:cs="Arial"/>
        <w:sz w:val="16"/>
        <w:szCs w:val="16"/>
      </w:rPr>
      <w:fldChar w:fldCharType="separate"/>
    </w:r>
    <w:r w:rsidR="00843F49" w:rsidRPr="00A45360">
      <w:rPr>
        <w:rFonts w:cs="Arial"/>
        <w:noProof/>
        <w:sz w:val="16"/>
        <w:szCs w:val="16"/>
        <w:lang w:val="es-ES"/>
      </w:rPr>
      <w:t>1</w:t>
    </w:r>
    <w:r w:rsidR="00843F49" w:rsidRPr="00B45BB9">
      <w:rPr>
        <w:rFonts w:cs="Arial"/>
        <w:sz w:val="16"/>
        <w:szCs w:val="16"/>
      </w:rPr>
      <w:fldChar w:fldCharType="end"/>
    </w:r>
    <w:r w:rsidR="00611B8A">
      <w:rPr>
        <w:rFonts w:cs="Arial"/>
        <w:sz w:val="16"/>
        <w:szCs w:val="16"/>
      </w:rPr>
      <w:t xml:space="preserve">                                                      </w:t>
    </w:r>
    <w:r>
      <w:rPr>
        <w:rFonts w:cs="Arial"/>
        <w:sz w:val="16"/>
        <w:szCs w:val="16"/>
      </w:rPr>
      <w:t xml:space="preserve">     </w:t>
    </w:r>
    <w:r w:rsidR="00611B8A">
      <w:rPr>
        <w:rFonts w:cs="Arial"/>
        <w:sz w:val="16"/>
        <w:szCs w:val="16"/>
      </w:rPr>
      <w:t xml:space="preserve">      F.A. </w:t>
    </w:r>
    <w:r>
      <w:rPr>
        <w:rFonts w:cs="Arial"/>
        <w:sz w:val="16"/>
        <w:szCs w:val="16"/>
      </w:rPr>
      <w:t>16/04/2026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3A298" w14:textId="77777777" w:rsidR="001147F8" w:rsidRDefault="001147F8" w:rsidP="00F34757">
      <w:pPr>
        <w:spacing w:line="240" w:lineRule="auto"/>
      </w:pPr>
      <w:r>
        <w:separator/>
      </w:r>
    </w:p>
  </w:footnote>
  <w:footnote w:type="continuationSeparator" w:id="0">
    <w:p w14:paraId="371CE34C" w14:textId="77777777" w:rsidR="001147F8" w:rsidRDefault="001147F8" w:rsidP="00F347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5000" w:type="pct"/>
      <w:tblLook w:val="04A0" w:firstRow="1" w:lastRow="0" w:firstColumn="1" w:lastColumn="0" w:noHBand="0" w:noVBand="1"/>
    </w:tblPr>
    <w:tblGrid>
      <w:gridCol w:w="2587"/>
      <w:gridCol w:w="1497"/>
      <w:gridCol w:w="2719"/>
      <w:gridCol w:w="1231"/>
      <w:gridCol w:w="1360"/>
    </w:tblGrid>
    <w:tr w:rsidR="00843F49" w:rsidRPr="00E316A9" w14:paraId="616D76C1" w14:textId="77777777" w:rsidTr="00917615">
      <w:trPr>
        <w:trHeight w:val="565"/>
      </w:trPr>
      <w:tc>
        <w:tcPr>
          <w:tcW w:w="1377" w:type="pct"/>
          <w:vMerge w:val="restart"/>
          <w:vAlign w:val="center"/>
        </w:tcPr>
        <w:p w14:paraId="4165D947" w14:textId="77777777" w:rsidR="00843F49" w:rsidRPr="00E316A9" w:rsidRDefault="00843F49" w:rsidP="006D3E00">
          <w:pPr>
            <w:pStyle w:val="Encabezado"/>
            <w:jc w:val="center"/>
          </w:pPr>
          <w:bookmarkStart w:id="28" w:name="_Hlk89354497"/>
          <w:r>
            <w:rPr>
              <w:noProof/>
              <w:lang w:val="es-MX" w:eastAsia="es-MX"/>
            </w:rPr>
            <w:drawing>
              <wp:inline distT="0" distB="0" distL="0" distR="0" wp14:anchorId="2CB52C48" wp14:editId="6C368A1D">
                <wp:extent cx="1505585" cy="981710"/>
                <wp:effectExtent l="0" t="0" r="0" b="0"/>
                <wp:docPr id="2"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5585" cy="981710"/>
                        </a:xfrm>
                        <a:prstGeom prst="rect">
                          <a:avLst/>
                        </a:prstGeom>
                        <a:noFill/>
                      </pic:spPr>
                    </pic:pic>
                  </a:graphicData>
                </a:graphic>
              </wp:inline>
            </w:drawing>
          </w:r>
        </w:p>
      </w:tc>
      <w:tc>
        <w:tcPr>
          <w:tcW w:w="3623" w:type="pct"/>
          <w:gridSpan w:val="4"/>
          <w:vAlign w:val="center"/>
        </w:tcPr>
        <w:p w14:paraId="7B4D5972" w14:textId="77777777" w:rsidR="00843F49" w:rsidRPr="00D75B8F" w:rsidRDefault="00843F49" w:rsidP="006D3E00">
          <w:pPr>
            <w:pStyle w:val="Encabezado"/>
            <w:jc w:val="center"/>
            <w:rPr>
              <w:rFonts w:cs="Arial"/>
              <w:b/>
              <w:i/>
              <w:szCs w:val="22"/>
            </w:rPr>
          </w:pPr>
          <w:r w:rsidRPr="00D75B8F">
            <w:rPr>
              <w:rFonts w:cs="Arial"/>
              <w:b/>
              <w:szCs w:val="22"/>
            </w:rPr>
            <w:t>UNIDAD ADM</w:t>
          </w:r>
          <w:r>
            <w:rPr>
              <w:rFonts w:cs="Arial"/>
              <w:b/>
              <w:szCs w:val="22"/>
            </w:rPr>
            <w:t>INIS</w:t>
          </w:r>
          <w:r w:rsidRPr="00D75B8F">
            <w:rPr>
              <w:rFonts w:cs="Arial"/>
              <w:b/>
              <w:szCs w:val="22"/>
            </w:rPr>
            <w:t>TRATIVA ESPECIAL MIGRACIÓN COLOMBIA</w:t>
          </w:r>
        </w:p>
      </w:tc>
    </w:tr>
    <w:tr w:rsidR="00843F49" w:rsidRPr="00E316A9" w14:paraId="60E21F2F" w14:textId="77777777" w:rsidTr="00917615">
      <w:trPr>
        <w:trHeight w:val="549"/>
      </w:trPr>
      <w:tc>
        <w:tcPr>
          <w:tcW w:w="1377" w:type="pct"/>
          <w:vMerge/>
          <w:vAlign w:val="center"/>
        </w:tcPr>
        <w:p w14:paraId="3F71AC32" w14:textId="77777777" w:rsidR="00843F49" w:rsidRPr="00E316A9" w:rsidRDefault="00843F49" w:rsidP="006D3E00">
          <w:pPr>
            <w:pStyle w:val="Encabezado"/>
            <w:jc w:val="center"/>
          </w:pPr>
        </w:p>
      </w:tc>
      <w:tc>
        <w:tcPr>
          <w:tcW w:w="797" w:type="pct"/>
          <w:vAlign w:val="center"/>
        </w:tcPr>
        <w:p w14:paraId="0566EB6E" w14:textId="77777777" w:rsidR="00843F49" w:rsidRPr="00D75B8F" w:rsidRDefault="00843F49" w:rsidP="006D3E00">
          <w:pPr>
            <w:pStyle w:val="Encabezado"/>
            <w:jc w:val="center"/>
            <w:rPr>
              <w:rFonts w:cs="Arial"/>
              <w:b/>
              <w:bCs/>
            </w:rPr>
          </w:pPr>
          <w:r w:rsidRPr="00D75B8F">
            <w:rPr>
              <w:rFonts w:cs="Arial"/>
              <w:b/>
              <w:bCs/>
            </w:rPr>
            <w:t>PROCESO</w:t>
          </w:r>
        </w:p>
      </w:tc>
      <w:tc>
        <w:tcPr>
          <w:tcW w:w="1447" w:type="pct"/>
          <w:vAlign w:val="center"/>
        </w:tcPr>
        <w:p w14:paraId="56AEDF7D" w14:textId="77777777" w:rsidR="00843F49" w:rsidRPr="00D75B8F" w:rsidRDefault="00843F49" w:rsidP="006D3E00">
          <w:pPr>
            <w:pStyle w:val="Encabezado"/>
            <w:jc w:val="center"/>
            <w:rPr>
              <w:rFonts w:cs="Arial"/>
              <w:bCs/>
            </w:rPr>
          </w:pPr>
          <w:r>
            <w:rPr>
              <w:rFonts w:cs="Arial"/>
              <w:bCs/>
            </w:rPr>
            <w:t>Gestión Contractual</w:t>
          </w:r>
        </w:p>
      </w:tc>
      <w:tc>
        <w:tcPr>
          <w:tcW w:w="655" w:type="pct"/>
          <w:vAlign w:val="center"/>
        </w:tcPr>
        <w:p w14:paraId="33D0DC11" w14:textId="77777777" w:rsidR="00843F49" w:rsidRPr="00D75B8F" w:rsidRDefault="00843F49" w:rsidP="006D3E00">
          <w:pPr>
            <w:pStyle w:val="Encabezado"/>
            <w:jc w:val="center"/>
            <w:rPr>
              <w:rFonts w:cs="Arial"/>
              <w:b/>
              <w:bCs/>
            </w:rPr>
          </w:pPr>
          <w:r w:rsidRPr="00D75B8F">
            <w:rPr>
              <w:rFonts w:cs="Arial"/>
              <w:b/>
              <w:bCs/>
            </w:rPr>
            <w:t>CÓDIGO</w:t>
          </w:r>
        </w:p>
      </w:tc>
      <w:tc>
        <w:tcPr>
          <w:tcW w:w="724" w:type="pct"/>
          <w:vAlign w:val="center"/>
        </w:tcPr>
        <w:p w14:paraId="3A977EA4" w14:textId="649B7783" w:rsidR="00843F49" w:rsidRPr="00CB0DB1" w:rsidRDefault="00CB0DB1" w:rsidP="006D3E00">
          <w:pPr>
            <w:pStyle w:val="Encabezado"/>
            <w:jc w:val="center"/>
            <w:rPr>
              <w:rFonts w:cs="Arial"/>
            </w:rPr>
          </w:pPr>
          <w:r w:rsidRPr="00CB0DB1">
            <w:rPr>
              <w:rFonts w:cs="Arial"/>
            </w:rPr>
            <w:t>AGC.63</w:t>
          </w:r>
        </w:p>
      </w:tc>
    </w:tr>
    <w:tr w:rsidR="00843F49" w:rsidRPr="00E316A9" w14:paraId="7FE56344" w14:textId="77777777" w:rsidTr="00917615">
      <w:trPr>
        <w:trHeight w:val="543"/>
      </w:trPr>
      <w:tc>
        <w:tcPr>
          <w:tcW w:w="1377" w:type="pct"/>
          <w:vMerge/>
          <w:vAlign w:val="center"/>
        </w:tcPr>
        <w:p w14:paraId="5DD34476" w14:textId="77777777" w:rsidR="00843F49" w:rsidRPr="00E316A9" w:rsidRDefault="00843F49" w:rsidP="006D3E00">
          <w:pPr>
            <w:pStyle w:val="Encabezado"/>
            <w:jc w:val="center"/>
          </w:pPr>
        </w:p>
      </w:tc>
      <w:tc>
        <w:tcPr>
          <w:tcW w:w="797" w:type="pct"/>
          <w:vAlign w:val="center"/>
        </w:tcPr>
        <w:p w14:paraId="5D783DF1" w14:textId="77777777" w:rsidR="00843F49" w:rsidRPr="00D75B8F" w:rsidRDefault="00843F49" w:rsidP="006D3E00">
          <w:pPr>
            <w:pStyle w:val="Encabezado"/>
            <w:jc w:val="center"/>
            <w:rPr>
              <w:rFonts w:cs="Arial"/>
              <w:b/>
              <w:bCs/>
            </w:rPr>
          </w:pPr>
          <w:r>
            <w:rPr>
              <w:rFonts w:cs="Arial"/>
              <w:b/>
              <w:bCs/>
            </w:rPr>
            <w:t>FORMATO</w:t>
          </w:r>
        </w:p>
      </w:tc>
      <w:tc>
        <w:tcPr>
          <w:tcW w:w="1447" w:type="pct"/>
          <w:vAlign w:val="center"/>
        </w:tcPr>
        <w:p w14:paraId="6E679252" w14:textId="57497548" w:rsidR="00843F49" w:rsidRPr="006E2CD8" w:rsidRDefault="00843F49" w:rsidP="006D3E00">
          <w:pPr>
            <w:spacing w:line="240" w:lineRule="auto"/>
            <w:jc w:val="center"/>
            <w:rPr>
              <w:rStyle w:val="nfasis"/>
              <w:rFonts w:cs="Arial"/>
              <w:i w:val="0"/>
            </w:rPr>
          </w:pPr>
          <w:r w:rsidRPr="006E2CD8">
            <w:rPr>
              <w:rStyle w:val="nfasis"/>
              <w:rFonts w:cs="Arial"/>
              <w:i w:val="0"/>
            </w:rPr>
            <w:t>Anexo al pliego de condiciones</w:t>
          </w:r>
        </w:p>
      </w:tc>
      <w:tc>
        <w:tcPr>
          <w:tcW w:w="655" w:type="pct"/>
          <w:vAlign w:val="center"/>
        </w:tcPr>
        <w:p w14:paraId="48540905" w14:textId="391B6326" w:rsidR="00843F49" w:rsidRPr="00D75B8F" w:rsidRDefault="00843F49" w:rsidP="006D3E00">
          <w:pPr>
            <w:pStyle w:val="Encabezado"/>
            <w:rPr>
              <w:rFonts w:cs="Arial"/>
              <w:b/>
              <w:bCs/>
            </w:rPr>
          </w:pPr>
          <w:r w:rsidRPr="00D75B8F">
            <w:rPr>
              <w:rFonts w:cs="Arial"/>
              <w:b/>
              <w:bCs/>
            </w:rPr>
            <w:t>VERSIÓN</w:t>
          </w:r>
        </w:p>
      </w:tc>
      <w:tc>
        <w:tcPr>
          <w:tcW w:w="724" w:type="pct"/>
          <w:vAlign w:val="center"/>
        </w:tcPr>
        <w:p w14:paraId="0066B975" w14:textId="170C65D1" w:rsidR="00843F49" w:rsidRPr="00CB0DB1" w:rsidRDefault="00CB0DB1" w:rsidP="006D3E00">
          <w:pPr>
            <w:spacing w:line="240" w:lineRule="auto"/>
            <w:jc w:val="center"/>
          </w:pPr>
          <w:r w:rsidRPr="00CB0DB1">
            <w:t>1</w:t>
          </w:r>
        </w:p>
      </w:tc>
    </w:tr>
    <w:bookmarkEnd w:id="28"/>
  </w:tbl>
  <w:p w14:paraId="0352ED6C" w14:textId="77777777" w:rsidR="00843F49" w:rsidRPr="0025509A" w:rsidRDefault="00843F49" w:rsidP="009B4F4E">
    <w:pPr>
      <w:pStyle w:val="Encabezado"/>
      <w:rPr>
        <w:rFonts w:cs="Arial"/>
        <w:szCs w:val="18"/>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2A032B6"/>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C3577EE"/>
    <w:multiLevelType w:val="multilevel"/>
    <w:tmpl w:val="816EE4D2"/>
    <w:lvl w:ilvl="0">
      <w:start w:val="1"/>
      <w:numFmt w:val="decimal"/>
      <w:lvlText w:val="%1."/>
      <w:lvlJc w:val="left"/>
      <w:pPr>
        <w:ind w:left="720" w:hanging="360"/>
      </w:pPr>
      <w:rPr>
        <w:b/>
      </w:rPr>
    </w:lvl>
    <w:lvl w:ilvl="1">
      <w:start w:val="1"/>
      <w:numFmt w:val="decimal"/>
      <w:lvlText w:val="%1.%2"/>
      <w:lvlJc w:val="left"/>
      <w:pPr>
        <w:ind w:left="927" w:hanging="360"/>
      </w:pPr>
      <w:rPr>
        <w:b/>
      </w:rPr>
    </w:lvl>
    <w:lvl w:ilvl="2">
      <w:start w:val="1"/>
      <w:numFmt w:val="decimal"/>
      <w:lvlText w:val="%1.%2.%3"/>
      <w:lvlJc w:val="left"/>
      <w:pPr>
        <w:ind w:left="1494" w:hanging="720"/>
      </w:pPr>
    </w:lvl>
    <w:lvl w:ilvl="3">
      <w:start w:val="1"/>
      <w:numFmt w:val="decimal"/>
      <w:lvlText w:val="%1.%2.%3.%4"/>
      <w:lvlJc w:val="left"/>
      <w:pPr>
        <w:ind w:left="1701" w:hanging="72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798"/>
      </w:pPr>
    </w:lvl>
  </w:abstractNum>
  <w:abstractNum w:abstractNumId="2" w15:restartNumberingAfterBreak="0">
    <w:nsid w:val="1B680C30"/>
    <w:multiLevelType w:val="multilevel"/>
    <w:tmpl w:val="787CCE9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1A28A8"/>
    <w:multiLevelType w:val="multilevel"/>
    <w:tmpl w:val="BCCC6F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9E134B3"/>
    <w:multiLevelType w:val="multilevel"/>
    <w:tmpl w:val="D1809A72"/>
    <w:lvl w:ilvl="0">
      <w:start w:val="1"/>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841E31"/>
    <w:multiLevelType w:val="multilevel"/>
    <w:tmpl w:val="EC680648"/>
    <w:lvl w:ilvl="0">
      <w:start w:val="1"/>
      <w:numFmt w:val="low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6" w15:restartNumberingAfterBreak="0">
    <w:nsid w:val="44826481"/>
    <w:multiLevelType w:val="multilevel"/>
    <w:tmpl w:val="E8685F4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6EE321E"/>
    <w:multiLevelType w:val="multilevel"/>
    <w:tmpl w:val="E9E4571E"/>
    <w:lvl w:ilvl="0">
      <w:start w:val="1"/>
      <w:numFmt w:val="low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9AD0C39"/>
    <w:multiLevelType w:val="multilevel"/>
    <w:tmpl w:val="48F07182"/>
    <w:lvl w:ilvl="0">
      <w:start w:val="3"/>
      <w:numFmt w:val="lowerLetter"/>
      <w:lvlText w:val="%1."/>
      <w:lvlJc w:val="left"/>
      <w:pPr>
        <w:ind w:left="720" w:hanging="360"/>
      </w:pPr>
    </w:lvl>
    <w:lvl w:ilvl="1">
      <w:start w:val="1"/>
      <w:numFmt w:val="upperLetter"/>
      <w:lvlText w:val="%2."/>
      <w:lvlJc w:val="left"/>
      <w:pPr>
        <w:ind w:left="1440" w:hanging="360"/>
      </w:pPr>
      <w:rPr>
        <w:b/>
      </w:rPr>
    </w:lvl>
    <w:lvl w:ilvl="2">
      <w:start w:val="1"/>
      <w:numFmt w:val="lowerLetter"/>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9" w15:restartNumberingAfterBreak="0">
    <w:nsid w:val="662430B1"/>
    <w:multiLevelType w:val="multilevel"/>
    <w:tmpl w:val="6638F432"/>
    <w:lvl w:ilvl="0">
      <w:start w:val="1"/>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7794FAB"/>
    <w:multiLevelType w:val="multilevel"/>
    <w:tmpl w:val="2EF827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B9F7AAA"/>
    <w:multiLevelType w:val="multilevel"/>
    <w:tmpl w:val="4B624D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0024D16"/>
    <w:multiLevelType w:val="multilevel"/>
    <w:tmpl w:val="FD5A1E6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Letter"/>
      <w:lvlText w:val="%3)"/>
      <w:lvlJc w:val="left"/>
      <w:pPr>
        <w:ind w:left="2340" w:hanging="360"/>
      </w:pPr>
      <w:rPr>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47759E9"/>
    <w:multiLevelType w:val="multilevel"/>
    <w:tmpl w:val="28DE5146"/>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4" w15:restartNumberingAfterBreak="0">
    <w:nsid w:val="7B7F1AEC"/>
    <w:multiLevelType w:val="multilevel"/>
    <w:tmpl w:val="FFF633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14906923">
    <w:abstractNumId w:val="10"/>
  </w:num>
  <w:num w:numId="2" w16cid:durableId="796408888">
    <w:abstractNumId w:val="8"/>
  </w:num>
  <w:num w:numId="3" w16cid:durableId="1137379966">
    <w:abstractNumId w:val="2"/>
  </w:num>
  <w:num w:numId="4" w16cid:durableId="977413872">
    <w:abstractNumId w:val="9"/>
  </w:num>
  <w:num w:numId="5" w16cid:durableId="1787263149">
    <w:abstractNumId w:val="3"/>
  </w:num>
  <w:num w:numId="6" w16cid:durableId="555433542">
    <w:abstractNumId w:val="11"/>
  </w:num>
  <w:num w:numId="7" w16cid:durableId="1625573968">
    <w:abstractNumId w:val="7"/>
  </w:num>
  <w:num w:numId="8" w16cid:durableId="1949854541">
    <w:abstractNumId w:val="12"/>
  </w:num>
  <w:num w:numId="9" w16cid:durableId="414593973">
    <w:abstractNumId w:val="6"/>
  </w:num>
  <w:num w:numId="10" w16cid:durableId="803349546">
    <w:abstractNumId w:val="13"/>
  </w:num>
  <w:num w:numId="11" w16cid:durableId="1976446846">
    <w:abstractNumId w:val="4"/>
  </w:num>
  <w:num w:numId="12" w16cid:durableId="1117599672">
    <w:abstractNumId w:val="1"/>
  </w:num>
  <w:num w:numId="13" w16cid:durableId="1612664265">
    <w:abstractNumId w:val="5"/>
  </w:num>
  <w:num w:numId="14" w16cid:durableId="453062421">
    <w:abstractNumId w:val="14"/>
  </w:num>
  <w:num w:numId="15" w16cid:durableId="1863087199">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BF"/>
    <w:rsid w:val="00000951"/>
    <w:rsid w:val="00001C3C"/>
    <w:rsid w:val="00001D82"/>
    <w:rsid w:val="00003D1D"/>
    <w:rsid w:val="00003F2D"/>
    <w:rsid w:val="000040BC"/>
    <w:rsid w:val="00006FDB"/>
    <w:rsid w:val="000072E2"/>
    <w:rsid w:val="0000776D"/>
    <w:rsid w:val="00007F7D"/>
    <w:rsid w:val="00007FFB"/>
    <w:rsid w:val="0001068C"/>
    <w:rsid w:val="000113EE"/>
    <w:rsid w:val="00011CD7"/>
    <w:rsid w:val="000131B6"/>
    <w:rsid w:val="00014B57"/>
    <w:rsid w:val="00014D7E"/>
    <w:rsid w:val="000155F8"/>
    <w:rsid w:val="00022FCC"/>
    <w:rsid w:val="000246EF"/>
    <w:rsid w:val="000249AC"/>
    <w:rsid w:val="000259EE"/>
    <w:rsid w:val="00025AE1"/>
    <w:rsid w:val="00026108"/>
    <w:rsid w:val="00034B00"/>
    <w:rsid w:val="00037831"/>
    <w:rsid w:val="00040FA4"/>
    <w:rsid w:val="00052BB5"/>
    <w:rsid w:val="000540CB"/>
    <w:rsid w:val="00055513"/>
    <w:rsid w:val="0005720E"/>
    <w:rsid w:val="000574BD"/>
    <w:rsid w:val="00060D4A"/>
    <w:rsid w:val="00062C0A"/>
    <w:rsid w:val="0006352B"/>
    <w:rsid w:val="000637C5"/>
    <w:rsid w:val="00063890"/>
    <w:rsid w:val="00064127"/>
    <w:rsid w:val="00064392"/>
    <w:rsid w:val="00064C2D"/>
    <w:rsid w:val="0006609C"/>
    <w:rsid w:val="00072163"/>
    <w:rsid w:val="000748FE"/>
    <w:rsid w:val="00074FEB"/>
    <w:rsid w:val="0008112F"/>
    <w:rsid w:val="00082F12"/>
    <w:rsid w:val="00083D17"/>
    <w:rsid w:val="00083DBE"/>
    <w:rsid w:val="0008475D"/>
    <w:rsid w:val="0008689B"/>
    <w:rsid w:val="00086A46"/>
    <w:rsid w:val="00093DDF"/>
    <w:rsid w:val="000953D0"/>
    <w:rsid w:val="00095AB6"/>
    <w:rsid w:val="00095D7E"/>
    <w:rsid w:val="000A08ED"/>
    <w:rsid w:val="000A14EA"/>
    <w:rsid w:val="000A2B4A"/>
    <w:rsid w:val="000A3E72"/>
    <w:rsid w:val="000A65A1"/>
    <w:rsid w:val="000B322B"/>
    <w:rsid w:val="000B3DDC"/>
    <w:rsid w:val="000B3E8A"/>
    <w:rsid w:val="000B58F9"/>
    <w:rsid w:val="000B6B30"/>
    <w:rsid w:val="000B7D6D"/>
    <w:rsid w:val="000C05BA"/>
    <w:rsid w:val="000D0C93"/>
    <w:rsid w:val="000D2BCA"/>
    <w:rsid w:val="000D2BF7"/>
    <w:rsid w:val="000D575C"/>
    <w:rsid w:val="000D6B0A"/>
    <w:rsid w:val="000D7046"/>
    <w:rsid w:val="000E0306"/>
    <w:rsid w:val="000E24DB"/>
    <w:rsid w:val="000E3891"/>
    <w:rsid w:val="000F24A3"/>
    <w:rsid w:val="000F283F"/>
    <w:rsid w:val="000F3593"/>
    <w:rsid w:val="000F5F66"/>
    <w:rsid w:val="000F65E2"/>
    <w:rsid w:val="00100718"/>
    <w:rsid w:val="0010142D"/>
    <w:rsid w:val="00102988"/>
    <w:rsid w:val="00106755"/>
    <w:rsid w:val="00112B1A"/>
    <w:rsid w:val="001147F8"/>
    <w:rsid w:val="00114B55"/>
    <w:rsid w:val="0011746E"/>
    <w:rsid w:val="0012107E"/>
    <w:rsid w:val="001219C3"/>
    <w:rsid w:val="0012317B"/>
    <w:rsid w:val="00123DA2"/>
    <w:rsid w:val="00124366"/>
    <w:rsid w:val="001243D4"/>
    <w:rsid w:val="001250FF"/>
    <w:rsid w:val="00126DF2"/>
    <w:rsid w:val="001323C3"/>
    <w:rsid w:val="0013303A"/>
    <w:rsid w:val="001337EC"/>
    <w:rsid w:val="0013479A"/>
    <w:rsid w:val="001369E9"/>
    <w:rsid w:val="00141F5F"/>
    <w:rsid w:val="001422F2"/>
    <w:rsid w:val="0014325F"/>
    <w:rsid w:val="00146844"/>
    <w:rsid w:val="001562E9"/>
    <w:rsid w:val="0015720E"/>
    <w:rsid w:val="00160B87"/>
    <w:rsid w:val="00161AC4"/>
    <w:rsid w:val="00161C76"/>
    <w:rsid w:val="00164156"/>
    <w:rsid w:val="001657F4"/>
    <w:rsid w:val="001665D1"/>
    <w:rsid w:val="001762AA"/>
    <w:rsid w:val="00176475"/>
    <w:rsid w:val="00176E33"/>
    <w:rsid w:val="001806AC"/>
    <w:rsid w:val="00180D55"/>
    <w:rsid w:val="0018102E"/>
    <w:rsid w:val="00181834"/>
    <w:rsid w:val="00181EF1"/>
    <w:rsid w:val="00181FDD"/>
    <w:rsid w:val="00182478"/>
    <w:rsid w:val="00183A47"/>
    <w:rsid w:val="00185858"/>
    <w:rsid w:val="001858AA"/>
    <w:rsid w:val="001863B9"/>
    <w:rsid w:val="00187503"/>
    <w:rsid w:val="00191CE1"/>
    <w:rsid w:val="001960F1"/>
    <w:rsid w:val="001A0833"/>
    <w:rsid w:val="001A29FE"/>
    <w:rsid w:val="001A306A"/>
    <w:rsid w:val="001A3EC5"/>
    <w:rsid w:val="001A415A"/>
    <w:rsid w:val="001A41B4"/>
    <w:rsid w:val="001A7D84"/>
    <w:rsid w:val="001B4D50"/>
    <w:rsid w:val="001B5D00"/>
    <w:rsid w:val="001C0B73"/>
    <w:rsid w:val="001C4ABD"/>
    <w:rsid w:val="001D1BC7"/>
    <w:rsid w:val="001D6C4F"/>
    <w:rsid w:val="001D7456"/>
    <w:rsid w:val="001E1720"/>
    <w:rsid w:val="001E1B68"/>
    <w:rsid w:val="001E3CA6"/>
    <w:rsid w:val="001E6886"/>
    <w:rsid w:val="001E7C1B"/>
    <w:rsid w:val="001F1FCC"/>
    <w:rsid w:val="001F3513"/>
    <w:rsid w:val="001F40FE"/>
    <w:rsid w:val="001F5FC1"/>
    <w:rsid w:val="00200BA2"/>
    <w:rsid w:val="002061D1"/>
    <w:rsid w:val="00206BF9"/>
    <w:rsid w:val="00206E43"/>
    <w:rsid w:val="00211CBC"/>
    <w:rsid w:val="002126F7"/>
    <w:rsid w:val="0021380A"/>
    <w:rsid w:val="00213C18"/>
    <w:rsid w:val="00214C49"/>
    <w:rsid w:val="00214DBA"/>
    <w:rsid w:val="00214F08"/>
    <w:rsid w:val="0021669D"/>
    <w:rsid w:val="00221BF8"/>
    <w:rsid w:val="00224647"/>
    <w:rsid w:val="0022632F"/>
    <w:rsid w:val="002275AB"/>
    <w:rsid w:val="002324BE"/>
    <w:rsid w:val="00233474"/>
    <w:rsid w:val="00235E7C"/>
    <w:rsid w:val="0024103D"/>
    <w:rsid w:val="002419E3"/>
    <w:rsid w:val="00241BD3"/>
    <w:rsid w:val="00242EBB"/>
    <w:rsid w:val="002435A1"/>
    <w:rsid w:val="0024544E"/>
    <w:rsid w:val="00245C78"/>
    <w:rsid w:val="00250C57"/>
    <w:rsid w:val="002513F7"/>
    <w:rsid w:val="00251659"/>
    <w:rsid w:val="0025281C"/>
    <w:rsid w:val="002537DF"/>
    <w:rsid w:val="00253D7B"/>
    <w:rsid w:val="00253DE9"/>
    <w:rsid w:val="0025509A"/>
    <w:rsid w:val="002572DB"/>
    <w:rsid w:val="00265240"/>
    <w:rsid w:val="002657A5"/>
    <w:rsid w:val="002660C0"/>
    <w:rsid w:val="00273820"/>
    <w:rsid w:val="002742E6"/>
    <w:rsid w:val="00274864"/>
    <w:rsid w:val="00275D24"/>
    <w:rsid w:val="00276E66"/>
    <w:rsid w:val="0028377C"/>
    <w:rsid w:val="00285514"/>
    <w:rsid w:val="00292DBA"/>
    <w:rsid w:val="00294158"/>
    <w:rsid w:val="002B0B94"/>
    <w:rsid w:val="002B17A3"/>
    <w:rsid w:val="002B1C34"/>
    <w:rsid w:val="002B57E3"/>
    <w:rsid w:val="002B5EC1"/>
    <w:rsid w:val="002C596F"/>
    <w:rsid w:val="002C6CD8"/>
    <w:rsid w:val="002C7253"/>
    <w:rsid w:val="002C7BDC"/>
    <w:rsid w:val="002D4328"/>
    <w:rsid w:val="002D4625"/>
    <w:rsid w:val="002D4776"/>
    <w:rsid w:val="002D4BE5"/>
    <w:rsid w:val="002D5E57"/>
    <w:rsid w:val="002D614A"/>
    <w:rsid w:val="002E27A2"/>
    <w:rsid w:val="002E2F96"/>
    <w:rsid w:val="002E3150"/>
    <w:rsid w:val="002E572F"/>
    <w:rsid w:val="002E707F"/>
    <w:rsid w:val="002F1522"/>
    <w:rsid w:val="002F3E06"/>
    <w:rsid w:val="002F4B3F"/>
    <w:rsid w:val="00300B48"/>
    <w:rsid w:val="00301701"/>
    <w:rsid w:val="00305A24"/>
    <w:rsid w:val="00315A1C"/>
    <w:rsid w:val="00315EA1"/>
    <w:rsid w:val="003161F1"/>
    <w:rsid w:val="003200BB"/>
    <w:rsid w:val="003215E8"/>
    <w:rsid w:val="00321E3B"/>
    <w:rsid w:val="003248D8"/>
    <w:rsid w:val="00324CBD"/>
    <w:rsid w:val="00325F7E"/>
    <w:rsid w:val="00335227"/>
    <w:rsid w:val="00336EB0"/>
    <w:rsid w:val="00340D96"/>
    <w:rsid w:val="003515DE"/>
    <w:rsid w:val="003526A1"/>
    <w:rsid w:val="0035660C"/>
    <w:rsid w:val="00360311"/>
    <w:rsid w:val="00360BC9"/>
    <w:rsid w:val="003615A7"/>
    <w:rsid w:val="0036359A"/>
    <w:rsid w:val="003663BE"/>
    <w:rsid w:val="00366B99"/>
    <w:rsid w:val="00372491"/>
    <w:rsid w:val="00372671"/>
    <w:rsid w:val="00373657"/>
    <w:rsid w:val="003739AD"/>
    <w:rsid w:val="003761A2"/>
    <w:rsid w:val="003803FB"/>
    <w:rsid w:val="003805E8"/>
    <w:rsid w:val="00381118"/>
    <w:rsid w:val="003834D1"/>
    <w:rsid w:val="00386C4B"/>
    <w:rsid w:val="00391413"/>
    <w:rsid w:val="003941FC"/>
    <w:rsid w:val="0039630F"/>
    <w:rsid w:val="003964F7"/>
    <w:rsid w:val="00396D66"/>
    <w:rsid w:val="003A1821"/>
    <w:rsid w:val="003A274D"/>
    <w:rsid w:val="003A3610"/>
    <w:rsid w:val="003A38E1"/>
    <w:rsid w:val="003B1AD7"/>
    <w:rsid w:val="003B28FA"/>
    <w:rsid w:val="003B4E53"/>
    <w:rsid w:val="003B4FB9"/>
    <w:rsid w:val="003B5DEB"/>
    <w:rsid w:val="003B6C35"/>
    <w:rsid w:val="003B6E6E"/>
    <w:rsid w:val="003B7065"/>
    <w:rsid w:val="003B7E3F"/>
    <w:rsid w:val="003C19F4"/>
    <w:rsid w:val="003C2752"/>
    <w:rsid w:val="003C4380"/>
    <w:rsid w:val="003D0C1E"/>
    <w:rsid w:val="003D1FF3"/>
    <w:rsid w:val="003D260A"/>
    <w:rsid w:val="003D5FF1"/>
    <w:rsid w:val="003E1305"/>
    <w:rsid w:val="003E194D"/>
    <w:rsid w:val="003E20BB"/>
    <w:rsid w:val="003E3DC1"/>
    <w:rsid w:val="003E461F"/>
    <w:rsid w:val="003E4C44"/>
    <w:rsid w:val="003F0D65"/>
    <w:rsid w:val="003F1258"/>
    <w:rsid w:val="003F1318"/>
    <w:rsid w:val="003F1C8D"/>
    <w:rsid w:val="003F3CFD"/>
    <w:rsid w:val="003F6FAB"/>
    <w:rsid w:val="003F7BCB"/>
    <w:rsid w:val="0041372C"/>
    <w:rsid w:val="00414321"/>
    <w:rsid w:val="00414418"/>
    <w:rsid w:val="004144DE"/>
    <w:rsid w:val="004162EA"/>
    <w:rsid w:val="0042183F"/>
    <w:rsid w:val="00421A10"/>
    <w:rsid w:val="00424581"/>
    <w:rsid w:val="00425082"/>
    <w:rsid w:val="00425D7D"/>
    <w:rsid w:val="00427AA2"/>
    <w:rsid w:val="00427C38"/>
    <w:rsid w:val="004303C8"/>
    <w:rsid w:val="00432FA2"/>
    <w:rsid w:val="00433DB6"/>
    <w:rsid w:val="00435C66"/>
    <w:rsid w:val="00435D90"/>
    <w:rsid w:val="00436268"/>
    <w:rsid w:val="0043691A"/>
    <w:rsid w:val="00444541"/>
    <w:rsid w:val="00444F02"/>
    <w:rsid w:val="00446DB4"/>
    <w:rsid w:val="00447401"/>
    <w:rsid w:val="00447876"/>
    <w:rsid w:val="00450373"/>
    <w:rsid w:val="00451B4A"/>
    <w:rsid w:val="00453547"/>
    <w:rsid w:val="004565A9"/>
    <w:rsid w:val="00457098"/>
    <w:rsid w:val="00457A23"/>
    <w:rsid w:val="004703E3"/>
    <w:rsid w:val="00470B8C"/>
    <w:rsid w:val="00474341"/>
    <w:rsid w:val="00477ED3"/>
    <w:rsid w:val="00486799"/>
    <w:rsid w:val="00490E0F"/>
    <w:rsid w:val="004A1B88"/>
    <w:rsid w:val="004A1C60"/>
    <w:rsid w:val="004A2436"/>
    <w:rsid w:val="004A24D2"/>
    <w:rsid w:val="004A272C"/>
    <w:rsid w:val="004A503E"/>
    <w:rsid w:val="004B1BA7"/>
    <w:rsid w:val="004B3A2B"/>
    <w:rsid w:val="004B6358"/>
    <w:rsid w:val="004B71E6"/>
    <w:rsid w:val="004C0DB7"/>
    <w:rsid w:val="004C1B72"/>
    <w:rsid w:val="004C1DEA"/>
    <w:rsid w:val="004C420E"/>
    <w:rsid w:val="004C78C8"/>
    <w:rsid w:val="004D3D20"/>
    <w:rsid w:val="004D6850"/>
    <w:rsid w:val="004D73C7"/>
    <w:rsid w:val="004E0E9D"/>
    <w:rsid w:val="004E242E"/>
    <w:rsid w:val="004F7E76"/>
    <w:rsid w:val="00504F03"/>
    <w:rsid w:val="005062F7"/>
    <w:rsid w:val="00512892"/>
    <w:rsid w:val="005137CE"/>
    <w:rsid w:val="00521A50"/>
    <w:rsid w:val="00521AD6"/>
    <w:rsid w:val="00522DB0"/>
    <w:rsid w:val="00526F87"/>
    <w:rsid w:val="00531779"/>
    <w:rsid w:val="00532289"/>
    <w:rsid w:val="00534C4E"/>
    <w:rsid w:val="005367E6"/>
    <w:rsid w:val="00536FC6"/>
    <w:rsid w:val="00537E6F"/>
    <w:rsid w:val="00540BF3"/>
    <w:rsid w:val="0054112A"/>
    <w:rsid w:val="0054125F"/>
    <w:rsid w:val="005420E3"/>
    <w:rsid w:val="00543CB8"/>
    <w:rsid w:val="00544188"/>
    <w:rsid w:val="00545B2E"/>
    <w:rsid w:val="00550A63"/>
    <w:rsid w:val="005521FF"/>
    <w:rsid w:val="00553A0F"/>
    <w:rsid w:val="0055441E"/>
    <w:rsid w:val="0055594C"/>
    <w:rsid w:val="005632B9"/>
    <w:rsid w:val="00563A4B"/>
    <w:rsid w:val="00570B6A"/>
    <w:rsid w:val="005732A6"/>
    <w:rsid w:val="00573AAD"/>
    <w:rsid w:val="00574F26"/>
    <w:rsid w:val="00580042"/>
    <w:rsid w:val="00586E63"/>
    <w:rsid w:val="005907FE"/>
    <w:rsid w:val="00592ECB"/>
    <w:rsid w:val="00596389"/>
    <w:rsid w:val="00596A3A"/>
    <w:rsid w:val="005A132B"/>
    <w:rsid w:val="005A33DC"/>
    <w:rsid w:val="005A45D2"/>
    <w:rsid w:val="005A6E76"/>
    <w:rsid w:val="005C007C"/>
    <w:rsid w:val="005C007F"/>
    <w:rsid w:val="005C1336"/>
    <w:rsid w:val="005C141F"/>
    <w:rsid w:val="005C5AA8"/>
    <w:rsid w:val="005C7113"/>
    <w:rsid w:val="005D0359"/>
    <w:rsid w:val="005D242A"/>
    <w:rsid w:val="005D4F24"/>
    <w:rsid w:val="005D6A9A"/>
    <w:rsid w:val="005D6EA1"/>
    <w:rsid w:val="005E1D4D"/>
    <w:rsid w:val="005E5DFC"/>
    <w:rsid w:val="005F014B"/>
    <w:rsid w:val="005F08EE"/>
    <w:rsid w:val="005F1792"/>
    <w:rsid w:val="005F6436"/>
    <w:rsid w:val="006003C8"/>
    <w:rsid w:val="00602280"/>
    <w:rsid w:val="00606389"/>
    <w:rsid w:val="00610143"/>
    <w:rsid w:val="00611B8A"/>
    <w:rsid w:val="00612414"/>
    <w:rsid w:val="00612565"/>
    <w:rsid w:val="006175A6"/>
    <w:rsid w:val="0062084B"/>
    <w:rsid w:val="006243CE"/>
    <w:rsid w:val="00626341"/>
    <w:rsid w:val="0062751D"/>
    <w:rsid w:val="00632F55"/>
    <w:rsid w:val="006339D0"/>
    <w:rsid w:val="0064074E"/>
    <w:rsid w:val="00642CAB"/>
    <w:rsid w:val="00644222"/>
    <w:rsid w:val="00652C56"/>
    <w:rsid w:val="00655F78"/>
    <w:rsid w:val="006618E0"/>
    <w:rsid w:val="00661C0D"/>
    <w:rsid w:val="00665BE7"/>
    <w:rsid w:val="0067451E"/>
    <w:rsid w:val="006746D9"/>
    <w:rsid w:val="00674E67"/>
    <w:rsid w:val="006830A7"/>
    <w:rsid w:val="006840BA"/>
    <w:rsid w:val="00685DEB"/>
    <w:rsid w:val="00686588"/>
    <w:rsid w:val="00687123"/>
    <w:rsid w:val="00687133"/>
    <w:rsid w:val="0068738A"/>
    <w:rsid w:val="00687811"/>
    <w:rsid w:val="006924F8"/>
    <w:rsid w:val="0069573B"/>
    <w:rsid w:val="00696332"/>
    <w:rsid w:val="006A02A9"/>
    <w:rsid w:val="006A0EC2"/>
    <w:rsid w:val="006A1360"/>
    <w:rsid w:val="006A4C27"/>
    <w:rsid w:val="006A4D0F"/>
    <w:rsid w:val="006A5B6C"/>
    <w:rsid w:val="006A602E"/>
    <w:rsid w:val="006B0898"/>
    <w:rsid w:val="006B0A78"/>
    <w:rsid w:val="006B43E8"/>
    <w:rsid w:val="006C2C12"/>
    <w:rsid w:val="006C3E76"/>
    <w:rsid w:val="006C75FD"/>
    <w:rsid w:val="006D0662"/>
    <w:rsid w:val="006D3E00"/>
    <w:rsid w:val="006D40B3"/>
    <w:rsid w:val="006D40D3"/>
    <w:rsid w:val="006E0DD2"/>
    <w:rsid w:val="006E0FAB"/>
    <w:rsid w:val="006E18AD"/>
    <w:rsid w:val="006E1F88"/>
    <w:rsid w:val="006E2CD8"/>
    <w:rsid w:val="006E3C15"/>
    <w:rsid w:val="006E559E"/>
    <w:rsid w:val="006F014E"/>
    <w:rsid w:val="006F0449"/>
    <w:rsid w:val="006F1A26"/>
    <w:rsid w:val="006F2D34"/>
    <w:rsid w:val="0070150B"/>
    <w:rsid w:val="00701EB3"/>
    <w:rsid w:val="00705043"/>
    <w:rsid w:val="00705B5B"/>
    <w:rsid w:val="00705F19"/>
    <w:rsid w:val="0071043F"/>
    <w:rsid w:val="0071063D"/>
    <w:rsid w:val="00711207"/>
    <w:rsid w:val="007115B6"/>
    <w:rsid w:val="00711687"/>
    <w:rsid w:val="00711A5F"/>
    <w:rsid w:val="00714540"/>
    <w:rsid w:val="00714CC6"/>
    <w:rsid w:val="00716F89"/>
    <w:rsid w:val="0071733B"/>
    <w:rsid w:val="007223BF"/>
    <w:rsid w:val="007250A9"/>
    <w:rsid w:val="00725C8B"/>
    <w:rsid w:val="00725D5A"/>
    <w:rsid w:val="0073284F"/>
    <w:rsid w:val="007333E4"/>
    <w:rsid w:val="00734DB5"/>
    <w:rsid w:val="007400E2"/>
    <w:rsid w:val="00741CEA"/>
    <w:rsid w:val="00746720"/>
    <w:rsid w:val="00751000"/>
    <w:rsid w:val="00751526"/>
    <w:rsid w:val="007542AA"/>
    <w:rsid w:val="0075618D"/>
    <w:rsid w:val="00756A5E"/>
    <w:rsid w:val="00757875"/>
    <w:rsid w:val="007603FA"/>
    <w:rsid w:val="007615EB"/>
    <w:rsid w:val="00761F16"/>
    <w:rsid w:val="00761F1F"/>
    <w:rsid w:val="007649BA"/>
    <w:rsid w:val="007652BF"/>
    <w:rsid w:val="00765B7D"/>
    <w:rsid w:val="00765C5D"/>
    <w:rsid w:val="00766F1E"/>
    <w:rsid w:val="007673CE"/>
    <w:rsid w:val="00767A25"/>
    <w:rsid w:val="00770CA1"/>
    <w:rsid w:val="00770D36"/>
    <w:rsid w:val="00771968"/>
    <w:rsid w:val="0077361D"/>
    <w:rsid w:val="00774CE9"/>
    <w:rsid w:val="007756F6"/>
    <w:rsid w:val="00776AAE"/>
    <w:rsid w:val="0078198A"/>
    <w:rsid w:val="007843AB"/>
    <w:rsid w:val="00786131"/>
    <w:rsid w:val="00786152"/>
    <w:rsid w:val="00790EAA"/>
    <w:rsid w:val="007914C2"/>
    <w:rsid w:val="00795D79"/>
    <w:rsid w:val="007975D0"/>
    <w:rsid w:val="00797B6A"/>
    <w:rsid w:val="007A00B8"/>
    <w:rsid w:val="007A3ABD"/>
    <w:rsid w:val="007A4C9C"/>
    <w:rsid w:val="007A57F5"/>
    <w:rsid w:val="007A71BB"/>
    <w:rsid w:val="007B05A0"/>
    <w:rsid w:val="007B13E8"/>
    <w:rsid w:val="007B193A"/>
    <w:rsid w:val="007B728F"/>
    <w:rsid w:val="007C2C81"/>
    <w:rsid w:val="007C513D"/>
    <w:rsid w:val="007D2027"/>
    <w:rsid w:val="007D51C9"/>
    <w:rsid w:val="007E3972"/>
    <w:rsid w:val="007E7476"/>
    <w:rsid w:val="007F10E4"/>
    <w:rsid w:val="007F1849"/>
    <w:rsid w:val="007F2651"/>
    <w:rsid w:val="007F342F"/>
    <w:rsid w:val="007F3677"/>
    <w:rsid w:val="007F43A3"/>
    <w:rsid w:val="007F640E"/>
    <w:rsid w:val="00802259"/>
    <w:rsid w:val="0080234C"/>
    <w:rsid w:val="00806107"/>
    <w:rsid w:val="00807E9A"/>
    <w:rsid w:val="00810C0E"/>
    <w:rsid w:val="00814E81"/>
    <w:rsid w:val="0082373D"/>
    <w:rsid w:val="00824B37"/>
    <w:rsid w:val="00824D11"/>
    <w:rsid w:val="008252CD"/>
    <w:rsid w:val="00826F6D"/>
    <w:rsid w:val="0082799B"/>
    <w:rsid w:val="00830194"/>
    <w:rsid w:val="00830F97"/>
    <w:rsid w:val="0083135F"/>
    <w:rsid w:val="00840D8A"/>
    <w:rsid w:val="00842FEB"/>
    <w:rsid w:val="00843F49"/>
    <w:rsid w:val="0088246B"/>
    <w:rsid w:val="00882E10"/>
    <w:rsid w:val="00885C76"/>
    <w:rsid w:val="00891844"/>
    <w:rsid w:val="00891851"/>
    <w:rsid w:val="0089482A"/>
    <w:rsid w:val="008955E8"/>
    <w:rsid w:val="00895AC1"/>
    <w:rsid w:val="008A0B5A"/>
    <w:rsid w:val="008A22A5"/>
    <w:rsid w:val="008A412D"/>
    <w:rsid w:val="008A7A58"/>
    <w:rsid w:val="008B0E0E"/>
    <w:rsid w:val="008B3AAF"/>
    <w:rsid w:val="008B3F00"/>
    <w:rsid w:val="008B4C34"/>
    <w:rsid w:val="008B508A"/>
    <w:rsid w:val="008B580E"/>
    <w:rsid w:val="008B7FC2"/>
    <w:rsid w:val="008C0C1B"/>
    <w:rsid w:val="008C14A9"/>
    <w:rsid w:val="008C1C88"/>
    <w:rsid w:val="008C267F"/>
    <w:rsid w:val="008C2C80"/>
    <w:rsid w:val="008D3D31"/>
    <w:rsid w:val="008D61F1"/>
    <w:rsid w:val="008D78BB"/>
    <w:rsid w:val="008E12BB"/>
    <w:rsid w:val="008E155E"/>
    <w:rsid w:val="008E2D56"/>
    <w:rsid w:val="008E3D4A"/>
    <w:rsid w:val="008E4381"/>
    <w:rsid w:val="008F55D6"/>
    <w:rsid w:val="008F6238"/>
    <w:rsid w:val="008F79EA"/>
    <w:rsid w:val="00900303"/>
    <w:rsid w:val="009006CD"/>
    <w:rsid w:val="00901324"/>
    <w:rsid w:val="00901EFB"/>
    <w:rsid w:val="00903885"/>
    <w:rsid w:val="00904B65"/>
    <w:rsid w:val="00906662"/>
    <w:rsid w:val="00912F0E"/>
    <w:rsid w:val="0091370E"/>
    <w:rsid w:val="00914245"/>
    <w:rsid w:val="00914FD1"/>
    <w:rsid w:val="0091597E"/>
    <w:rsid w:val="009170A6"/>
    <w:rsid w:val="00917615"/>
    <w:rsid w:val="0092164E"/>
    <w:rsid w:val="0093380C"/>
    <w:rsid w:val="009344ED"/>
    <w:rsid w:val="00935544"/>
    <w:rsid w:val="00935890"/>
    <w:rsid w:val="00935AFF"/>
    <w:rsid w:val="009368A5"/>
    <w:rsid w:val="00940284"/>
    <w:rsid w:val="00940E2D"/>
    <w:rsid w:val="0094147C"/>
    <w:rsid w:val="00942358"/>
    <w:rsid w:val="00942B75"/>
    <w:rsid w:val="00943BDD"/>
    <w:rsid w:val="009528F3"/>
    <w:rsid w:val="00952C63"/>
    <w:rsid w:val="009544E3"/>
    <w:rsid w:val="00955595"/>
    <w:rsid w:val="00956F6E"/>
    <w:rsid w:val="00956F98"/>
    <w:rsid w:val="009602BB"/>
    <w:rsid w:val="00961C67"/>
    <w:rsid w:val="00962D80"/>
    <w:rsid w:val="009642A5"/>
    <w:rsid w:val="00964A78"/>
    <w:rsid w:val="009657E3"/>
    <w:rsid w:val="009710FD"/>
    <w:rsid w:val="00974D19"/>
    <w:rsid w:val="0098283B"/>
    <w:rsid w:val="00982D44"/>
    <w:rsid w:val="00983EF3"/>
    <w:rsid w:val="00985474"/>
    <w:rsid w:val="00985956"/>
    <w:rsid w:val="009862AA"/>
    <w:rsid w:val="00987C1F"/>
    <w:rsid w:val="00990E7D"/>
    <w:rsid w:val="00997D5A"/>
    <w:rsid w:val="009A055C"/>
    <w:rsid w:val="009A09EB"/>
    <w:rsid w:val="009A1039"/>
    <w:rsid w:val="009A2E73"/>
    <w:rsid w:val="009A2F78"/>
    <w:rsid w:val="009A5723"/>
    <w:rsid w:val="009A60C0"/>
    <w:rsid w:val="009B2428"/>
    <w:rsid w:val="009B375A"/>
    <w:rsid w:val="009B3B13"/>
    <w:rsid w:val="009B4BEB"/>
    <w:rsid w:val="009B4F4E"/>
    <w:rsid w:val="009B5031"/>
    <w:rsid w:val="009B779D"/>
    <w:rsid w:val="009B7B59"/>
    <w:rsid w:val="009C0C06"/>
    <w:rsid w:val="009C1CD8"/>
    <w:rsid w:val="009C2279"/>
    <w:rsid w:val="009C2EBB"/>
    <w:rsid w:val="009D09D0"/>
    <w:rsid w:val="009D40FD"/>
    <w:rsid w:val="009D569C"/>
    <w:rsid w:val="009D5B4B"/>
    <w:rsid w:val="009D72B1"/>
    <w:rsid w:val="009E0027"/>
    <w:rsid w:val="009E1A34"/>
    <w:rsid w:val="009E794D"/>
    <w:rsid w:val="009F5BB2"/>
    <w:rsid w:val="009F7F11"/>
    <w:rsid w:val="00A02C34"/>
    <w:rsid w:val="00A06FBD"/>
    <w:rsid w:val="00A10B8E"/>
    <w:rsid w:val="00A11C70"/>
    <w:rsid w:val="00A11DA2"/>
    <w:rsid w:val="00A14315"/>
    <w:rsid w:val="00A14FA8"/>
    <w:rsid w:val="00A15EF3"/>
    <w:rsid w:val="00A2135A"/>
    <w:rsid w:val="00A229C3"/>
    <w:rsid w:val="00A25A3A"/>
    <w:rsid w:val="00A32877"/>
    <w:rsid w:val="00A3371F"/>
    <w:rsid w:val="00A346D6"/>
    <w:rsid w:val="00A361C0"/>
    <w:rsid w:val="00A3659A"/>
    <w:rsid w:val="00A37D3C"/>
    <w:rsid w:val="00A41442"/>
    <w:rsid w:val="00A43361"/>
    <w:rsid w:val="00A45360"/>
    <w:rsid w:val="00A45784"/>
    <w:rsid w:val="00A461C6"/>
    <w:rsid w:val="00A4701B"/>
    <w:rsid w:val="00A50FBF"/>
    <w:rsid w:val="00A53996"/>
    <w:rsid w:val="00A56349"/>
    <w:rsid w:val="00A63243"/>
    <w:rsid w:val="00A64FC4"/>
    <w:rsid w:val="00A65C19"/>
    <w:rsid w:val="00A66F1C"/>
    <w:rsid w:val="00A715AA"/>
    <w:rsid w:val="00A71D44"/>
    <w:rsid w:val="00A7246A"/>
    <w:rsid w:val="00A736AC"/>
    <w:rsid w:val="00A7398F"/>
    <w:rsid w:val="00A74E6F"/>
    <w:rsid w:val="00A7518E"/>
    <w:rsid w:val="00A76588"/>
    <w:rsid w:val="00A803F7"/>
    <w:rsid w:val="00A83443"/>
    <w:rsid w:val="00A84C70"/>
    <w:rsid w:val="00A90470"/>
    <w:rsid w:val="00A944F5"/>
    <w:rsid w:val="00AA5E6E"/>
    <w:rsid w:val="00AA6C4C"/>
    <w:rsid w:val="00AA6D8E"/>
    <w:rsid w:val="00AB0880"/>
    <w:rsid w:val="00AB0BAA"/>
    <w:rsid w:val="00AB223F"/>
    <w:rsid w:val="00AB2CBF"/>
    <w:rsid w:val="00AB42D9"/>
    <w:rsid w:val="00AC7856"/>
    <w:rsid w:val="00AD423B"/>
    <w:rsid w:val="00AE0342"/>
    <w:rsid w:val="00AE3EDE"/>
    <w:rsid w:val="00AE6127"/>
    <w:rsid w:val="00AF31A8"/>
    <w:rsid w:val="00AF7C32"/>
    <w:rsid w:val="00B00B2C"/>
    <w:rsid w:val="00B020DD"/>
    <w:rsid w:val="00B03494"/>
    <w:rsid w:val="00B04DD5"/>
    <w:rsid w:val="00B04E07"/>
    <w:rsid w:val="00B07508"/>
    <w:rsid w:val="00B07E89"/>
    <w:rsid w:val="00B07F30"/>
    <w:rsid w:val="00B15711"/>
    <w:rsid w:val="00B15F8C"/>
    <w:rsid w:val="00B178CC"/>
    <w:rsid w:val="00B17B9D"/>
    <w:rsid w:val="00B220E6"/>
    <w:rsid w:val="00B23EF2"/>
    <w:rsid w:val="00B267BD"/>
    <w:rsid w:val="00B270F3"/>
    <w:rsid w:val="00B33285"/>
    <w:rsid w:val="00B3433B"/>
    <w:rsid w:val="00B345F5"/>
    <w:rsid w:val="00B34F5B"/>
    <w:rsid w:val="00B35651"/>
    <w:rsid w:val="00B4042A"/>
    <w:rsid w:val="00B40842"/>
    <w:rsid w:val="00B40BA4"/>
    <w:rsid w:val="00B43B5C"/>
    <w:rsid w:val="00B45BB9"/>
    <w:rsid w:val="00B51DE6"/>
    <w:rsid w:val="00B52629"/>
    <w:rsid w:val="00B54A40"/>
    <w:rsid w:val="00B5546C"/>
    <w:rsid w:val="00B61157"/>
    <w:rsid w:val="00B61E24"/>
    <w:rsid w:val="00B62E8D"/>
    <w:rsid w:val="00B6503B"/>
    <w:rsid w:val="00B6751A"/>
    <w:rsid w:val="00B7117A"/>
    <w:rsid w:val="00B723C9"/>
    <w:rsid w:val="00B7306E"/>
    <w:rsid w:val="00B75782"/>
    <w:rsid w:val="00B759D5"/>
    <w:rsid w:val="00B7666F"/>
    <w:rsid w:val="00B7715F"/>
    <w:rsid w:val="00B81DA4"/>
    <w:rsid w:val="00B8360D"/>
    <w:rsid w:val="00B83FBC"/>
    <w:rsid w:val="00B84D5E"/>
    <w:rsid w:val="00B87DBE"/>
    <w:rsid w:val="00B901B1"/>
    <w:rsid w:val="00B9411A"/>
    <w:rsid w:val="00B946BD"/>
    <w:rsid w:val="00B96747"/>
    <w:rsid w:val="00B9715C"/>
    <w:rsid w:val="00BA1CA8"/>
    <w:rsid w:val="00BA68CB"/>
    <w:rsid w:val="00BA7862"/>
    <w:rsid w:val="00BA7B79"/>
    <w:rsid w:val="00BA7F79"/>
    <w:rsid w:val="00BB119E"/>
    <w:rsid w:val="00BB2148"/>
    <w:rsid w:val="00BB4E29"/>
    <w:rsid w:val="00BC0C0E"/>
    <w:rsid w:val="00BC1961"/>
    <w:rsid w:val="00BC216E"/>
    <w:rsid w:val="00BC50C7"/>
    <w:rsid w:val="00BC61BD"/>
    <w:rsid w:val="00BC6E59"/>
    <w:rsid w:val="00BD10E1"/>
    <w:rsid w:val="00BD28A8"/>
    <w:rsid w:val="00BD3B75"/>
    <w:rsid w:val="00BD7926"/>
    <w:rsid w:val="00BE07F6"/>
    <w:rsid w:val="00BE341B"/>
    <w:rsid w:val="00BE3552"/>
    <w:rsid w:val="00BE6C04"/>
    <w:rsid w:val="00BF2419"/>
    <w:rsid w:val="00BF4F08"/>
    <w:rsid w:val="00BF5D55"/>
    <w:rsid w:val="00BF6BDD"/>
    <w:rsid w:val="00C00AB9"/>
    <w:rsid w:val="00C047BF"/>
    <w:rsid w:val="00C065CD"/>
    <w:rsid w:val="00C113D6"/>
    <w:rsid w:val="00C1195B"/>
    <w:rsid w:val="00C12C4E"/>
    <w:rsid w:val="00C13E7B"/>
    <w:rsid w:val="00C15B7F"/>
    <w:rsid w:val="00C174D1"/>
    <w:rsid w:val="00C17BB1"/>
    <w:rsid w:val="00C20F98"/>
    <w:rsid w:val="00C22651"/>
    <w:rsid w:val="00C240DD"/>
    <w:rsid w:val="00C32380"/>
    <w:rsid w:val="00C32F90"/>
    <w:rsid w:val="00C33AFD"/>
    <w:rsid w:val="00C345D3"/>
    <w:rsid w:val="00C36312"/>
    <w:rsid w:val="00C377C4"/>
    <w:rsid w:val="00C41808"/>
    <w:rsid w:val="00C43A1F"/>
    <w:rsid w:val="00C43FBD"/>
    <w:rsid w:val="00C447DE"/>
    <w:rsid w:val="00C45197"/>
    <w:rsid w:val="00C4685B"/>
    <w:rsid w:val="00C46B23"/>
    <w:rsid w:val="00C502F2"/>
    <w:rsid w:val="00C527DD"/>
    <w:rsid w:val="00C53C01"/>
    <w:rsid w:val="00C54B42"/>
    <w:rsid w:val="00C635C4"/>
    <w:rsid w:val="00C73337"/>
    <w:rsid w:val="00C73BF9"/>
    <w:rsid w:val="00C73DF5"/>
    <w:rsid w:val="00C81466"/>
    <w:rsid w:val="00C8162D"/>
    <w:rsid w:val="00C824F8"/>
    <w:rsid w:val="00C82F37"/>
    <w:rsid w:val="00C838F6"/>
    <w:rsid w:val="00C86344"/>
    <w:rsid w:val="00C8729D"/>
    <w:rsid w:val="00C875E1"/>
    <w:rsid w:val="00C90370"/>
    <w:rsid w:val="00C94791"/>
    <w:rsid w:val="00C94947"/>
    <w:rsid w:val="00CA23DC"/>
    <w:rsid w:val="00CA7044"/>
    <w:rsid w:val="00CA74F0"/>
    <w:rsid w:val="00CA7AA9"/>
    <w:rsid w:val="00CB0DB1"/>
    <w:rsid w:val="00CB2167"/>
    <w:rsid w:val="00CB2895"/>
    <w:rsid w:val="00CB4BB0"/>
    <w:rsid w:val="00CB5BEA"/>
    <w:rsid w:val="00CB6A20"/>
    <w:rsid w:val="00CB7845"/>
    <w:rsid w:val="00CC0B55"/>
    <w:rsid w:val="00CC242B"/>
    <w:rsid w:val="00CC33B3"/>
    <w:rsid w:val="00CD109A"/>
    <w:rsid w:val="00CD32B8"/>
    <w:rsid w:val="00CD3CA6"/>
    <w:rsid w:val="00CD6E17"/>
    <w:rsid w:val="00CE0D9F"/>
    <w:rsid w:val="00CE13DC"/>
    <w:rsid w:val="00CE16D9"/>
    <w:rsid w:val="00CE26C2"/>
    <w:rsid w:val="00CE319C"/>
    <w:rsid w:val="00CE3727"/>
    <w:rsid w:val="00CE5A91"/>
    <w:rsid w:val="00CE7C82"/>
    <w:rsid w:val="00CF079C"/>
    <w:rsid w:val="00CF100D"/>
    <w:rsid w:val="00CF7F14"/>
    <w:rsid w:val="00D02A41"/>
    <w:rsid w:val="00D02C53"/>
    <w:rsid w:val="00D03CD2"/>
    <w:rsid w:val="00D069BA"/>
    <w:rsid w:val="00D130C4"/>
    <w:rsid w:val="00D20EA0"/>
    <w:rsid w:val="00D25846"/>
    <w:rsid w:val="00D273ED"/>
    <w:rsid w:val="00D31DCA"/>
    <w:rsid w:val="00D33082"/>
    <w:rsid w:val="00D35721"/>
    <w:rsid w:val="00D3636D"/>
    <w:rsid w:val="00D416AB"/>
    <w:rsid w:val="00D42C2E"/>
    <w:rsid w:val="00D456D5"/>
    <w:rsid w:val="00D47550"/>
    <w:rsid w:val="00D47A3D"/>
    <w:rsid w:val="00D47D43"/>
    <w:rsid w:val="00D501E4"/>
    <w:rsid w:val="00D54AE4"/>
    <w:rsid w:val="00D553CD"/>
    <w:rsid w:val="00D601F6"/>
    <w:rsid w:val="00D62388"/>
    <w:rsid w:val="00D64193"/>
    <w:rsid w:val="00D65FF1"/>
    <w:rsid w:val="00D67F51"/>
    <w:rsid w:val="00D736FE"/>
    <w:rsid w:val="00D74756"/>
    <w:rsid w:val="00D74DF7"/>
    <w:rsid w:val="00D74EC0"/>
    <w:rsid w:val="00D75A48"/>
    <w:rsid w:val="00D76F9C"/>
    <w:rsid w:val="00D824C8"/>
    <w:rsid w:val="00D83ABE"/>
    <w:rsid w:val="00D83CF1"/>
    <w:rsid w:val="00D85437"/>
    <w:rsid w:val="00D86DE1"/>
    <w:rsid w:val="00D917C6"/>
    <w:rsid w:val="00D92615"/>
    <w:rsid w:val="00D92CE5"/>
    <w:rsid w:val="00D94942"/>
    <w:rsid w:val="00D95BDC"/>
    <w:rsid w:val="00D95ECD"/>
    <w:rsid w:val="00D979FE"/>
    <w:rsid w:val="00DA0738"/>
    <w:rsid w:val="00DA39E2"/>
    <w:rsid w:val="00DA48A9"/>
    <w:rsid w:val="00DA654B"/>
    <w:rsid w:val="00DA71E1"/>
    <w:rsid w:val="00DA7749"/>
    <w:rsid w:val="00DB2164"/>
    <w:rsid w:val="00DB34FE"/>
    <w:rsid w:val="00DB44F5"/>
    <w:rsid w:val="00DC34C4"/>
    <w:rsid w:val="00DC636A"/>
    <w:rsid w:val="00DC7375"/>
    <w:rsid w:val="00DD157A"/>
    <w:rsid w:val="00DD3366"/>
    <w:rsid w:val="00DD49C1"/>
    <w:rsid w:val="00DD5612"/>
    <w:rsid w:val="00DD5F6C"/>
    <w:rsid w:val="00DD6264"/>
    <w:rsid w:val="00DD7B83"/>
    <w:rsid w:val="00DE19D9"/>
    <w:rsid w:val="00DE665C"/>
    <w:rsid w:val="00DE7070"/>
    <w:rsid w:val="00DE7282"/>
    <w:rsid w:val="00DE7880"/>
    <w:rsid w:val="00DE79FA"/>
    <w:rsid w:val="00DF065F"/>
    <w:rsid w:val="00DF21B2"/>
    <w:rsid w:val="00DF2448"/>
    <w:rsid w:val="00DF4FEF"/>
    <w:rsid w:val="00DF5C69"/>
    <w:rsid w:val="00DF692D"/>
    <w:rsid w:val="00DF6E14"/>
    <w:rsid w:val="00DF7B95"/>
    <w:rsid w:val="00E03FCA"/>
    <w:rsid w:val="00E04407"/>
    <w:rsid w:val="00E052D8"/>
    <w:rsid w:val="00E0662E"/>
    <w:rsid w:val="00E06C38"/>
    <w:rsid w:val="00E132F1"/>
    <w:rsid w:val="00E14804"/>
    <w:rsid w:val="00E17E17"/>
    <w:rsid w:val="00E334E4"/>
    <w:rsid w:val="00E3517E"/>
    <w:rsid w:val="00E37824"/>
    <w:rsid w:val="00E40CC7"/>
    <w:rsid w:val="00E41ADC"/>
    <w:rsid w:val="00E4460D"/>
    <w:rsid w:val="00E4795D"/>
    <w:rsid w:val="00E5031E"/>
    <w:rsid w:val="00E51705"/>
    <w:rsid w:val="00E527FA"/>
    <w:rsid w:val="00E5644B"/>
    <w:rsid w:val="00E57E56"/>
    <w:rsid w:val="00E61167"/>
    <w:rsid w:val="00E63164"/>
    <w:rsid w:val="00E64B85"/>
    <w:rsid w:val="00E651B2"/>
    <w:rsid w:val="00E66484"/>
    <w:rsid w:val="00E66FC2"/>
    <w:rsid w:val="00E6705C"/>
    <w:rsid w:val="00E730C9"/>
    <w:rsid w:val="00E738E7"/>
    <w:rsid w:val="00E73F75"/>
    <w:rsid w:val="00E74892"/>
    <w:rsid w:val="00E76A77"/>
    <w:rsid w:val="00E81016"/>
    <w:rsid w:val="00E820DE"/>
    <w:rsid w:val="00E830CF"/>
    <w:rsid w:val="00E8495F"/>
    <w:rsid w:val="00E902A7"/>
    <w:rsid w:val="00E92A11"/>
    <w:rsid w:val="00E932D5"/>
    <w:rsid w:val="00E93390"/>
    <w:rsid w:val="00E94900"/>
    <w:rsid w:val="00E9556F"/>
    <w:rsid w:val="00EA199E"/>
    <w:rsid w:val="00EA290B"/>
    <w:rsid w:val="00EA2DC0"/>
    <w:rsid w:val="00EA3C67"/>
    <w:rsid w:val="00EA5763"/>
    <w:rsid w:val="00EA5FF5"/>
    <w:rsid w:val="00EA6387"/>
    <w:rsid w:val="00EB095B"/>
    <w:rsid w:val="00EB232C"/>
    <w:rsid w:val="00EB3B96"/>
    <w:rsid w:val="00EB5403"/>
    <w:rsid w:val="00EB6F0A"/>
    <w:rsid w:val="00EC0351"/>
    <w:rsid w:val="00EC0A8B"/>
    <w:rsid w:val="00EC1357"/>
    <w:rsid w:val="00EC16A4"/>
    <w:rsid w:val="00EC2245"/>
    <w:rsid w:val="00EC4074"/>
    <w:rsid w:val="00EC4BE7"/>
    <w:rsid w:val="00EC6F62"/>
    <w:rsid w:val="00EC714E"/>
    <w:rsid w:val="00ED1F3D"/>
    <w:rsid w:val="00ED382E"/>
    <w:rsid w:val="00ED579B"/>
    <w:rsid w:val="00EE1839"/>
    <w:rsid w:val="00EE2515"/>
    <w:rsid w:val="00EE3C3A"/>
    <w:rsid w:val="00EE7260"/>
    <w:rsid w:val="00EF0DC7"/>
    <w:rsid w:val="00EF2B5D"/>
    <w:rsid w:val="00EF3BE4"/>
    <w:rsid w:val="00EF5181"/>
    <w:rsid w:val="00EF762B"/>
    <w:rsid w:val="00F03094"/>
    <w:rsid w:val="00F059DB"/>
    <w:rsid w:val="00F06C7F"/>
    <w:rsid w:val="00F0707D"/>
    <w:rsid w:val="00F07158"/>
    <w:rsid w:val="00F073EA"/>
    <w:rsid w:val="00F21016"/>
    <w:rsid w:val="00F21163"/>
    <w:rsid w:val="00F244AC"/>
    <w:rsid w:val="00F25023"/>
    <w:rsid w:val="00F30359"/>
    <w:rsid w:val="00F32B54"/>
    <w:rsid w:val="00F34757"/>
    <w:rsid w:val="00F34E2D"/>
    <w:rsid w:val="00F400F9"/>
    <w:rsid w:val="00F415D3"/>
    <w:rsid w:val="00F4213F"/>
    <w:rsid w:val="00F43C1A"/>
    <w:rsid w:val="00F45567"/>
    <w:rsid w:val="00F525D4"/>
    <w:rsid w:val="00F53BAA"/>
    <w:rsid w:val="00F53D61"/>
    <w:rsid w:val="00F55E08"/>
    <w:rsid w:val="00F616EC"/>
    <w:rsid w:val="00F61724"/>
    <w:rsid w:val="00F62EA2"/>
    <w:rsid w:val="00F652AA"/>
    <w:rsid w:val="00F654D6"/>
    <w:rsid w:val="00F65D47"/>
    <w:rsid w:val="00F73969"/>
    <w:rsid w:val="00F73F9A"/>
    <w:rsid w:val="00F80849"/>
    <w:rsid w:val="00F80D37"/>
    <w:rsid w:val="00F81DB9"/>
    <w:rsid w:val="00F8347E"/>
    <w:rsid w:val="00F84B01"/>
    <w:rsid w:val="00F85444"/>
    <w:rsid w:val="00F8656A"/>
    <w:rsid w:val="00F90BFD"/>
    <w:rsid w:val="00F91E42"/>
    <w:rsid w:val="00F92DD9"/>
    <w:rsid w:val="00F94ED1"/>
    <w:rsid w:val="00F95BFD"/>
    <w:rsid w:val="00F95C9A"/>
    <w:rsid w:val="00F966B9"/>
    <w:rsid w:val="00FA19F7"/>
    <w:rsid w:val="00FA35A8"/>
    <w:rsid w:val="00FA39AB"/>
    <w:rsid w:val="00FA73DE"/>
    <w:rsid w:val="00FA7660"/>
    <w:rsid w:val="00FB05C1"/>
    <w:rsid w:val="00FB2A9D"/>
    <w:rsid w:val="00FB2C1B"/>
    <w:rsid w:val="00FB2C97"/>
    <w:rsid w:val="00FB3E70"/>
    <w:rsid w:val="00FB48DA"/>
    <w:rsid w:val="00FB4920"/>
    <w:rsid w:val="00FC1BF5"/>
    <w:rsid w:val="00FC6B7B"/>
    <w:rsid w:val="00FD00F8"/>
    <w:rsid w:val="00FD0DA2"/>
    <w:rsid w:val="00FD4990"/>
    <w:rsid w:val="00FD573A"/>
    <w:rsid w:val="00FD6C16"/>
    <w:rsid w:val="00FE12B0"/>
    <w:rsid w:val="00FE2593"/>
    <w:rsid w:val="00FE3952"/>
    <w:rsid w:val="00FE56BA"/>
    <w:rsid w:val="00FF3121"/>
    <w:rsid w:val="00FF6E8C"/>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692013"/>
  <w15:docId w15:val="{0226CF92-1DAE-4BB6-9C51-4C987061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09A"/>
    <w:pPr>
      <w:spacing w:line="276" w:lineRule="auto"/>
      <w:jc w:val="both"/>
    </w:pPr>
    <w:rPr>
      <w:rFonts w:ascii="Arial" w:hAnsi="Arial"/>
      <w:lang w:val="es-CO"/>
    </w:rPr>
  </w:style>
  <w:style w:type="paragraph" w:styleId="Ttulo1">
    <w:name w:val="heading 1"/>
    <w:basedOn w:val="Normal"/>
    <w:next w:val="Normal"/>
    <w:link w:val="Ttulo1Car"/>
    <w:uiPriority w:val="99"/>
    <w:qFormat/>
    <w:rsid w:val="001665D1"/>
    <w:pPr>
      <w:keepNext/>
      <w:outlineLvl w:val="0"/>
    </w:pPr>
    <w:rPr>
      <w:rFonts w:eastAsia="Times New Roman"/>
      <w:b/>
      <w:bCs/>
      <w:kern w:val="32"/>
      <w:sz w:val="24"/>
      <w:szCs w:val="32"/>
      <w:lang w:val="es-ES" w:eastAsia="es-ES"/>
    </w:rPr>
  </w:style>
  <w:style w:type="paragraph" w:styleId="Ttulo2">
    <w:name w:val="heading 2"/>
    <w:basedOn w:val="Normal"/>
    <w:next w:val="Normal"/>
    <w:link w:val="Ttulo2Car"/>
    <w:uiPriority w:val="9"/>
    <w:semiHidden/>
    <w:unhideWhenUsed/>
    <w:qFormat/>
    <w:locked/>
    <w:rsid w:val="0018102E"/>
    <w:pPr>
      <w:keepNext/>
      <w:outlineLvl w:val="1"/>
    </w:pPr>
    <w:rPr>
      <w:rFonts w:eastAsia="Times New Roman"/>
      <w:b/>
      <w:bCs/>
      <w:iCs/>
      <w:szCs w:val="28"/>
      <w:lang w:val="es-ES" w:eastAsia="es-ES"/>
    </w:rPr>
  </w:style>
  <w:style w:type="paragraph" w:styleId="Ttulo3">
    <w:name w:val="heading 3"/>
    <w:basedOn w:val="Normal"/>
    <w:next w:val="Normal"/>
    <w:link w:val="Ttulo3Car"/>
    <w:semiHidden/>
    <w:unhideWhenUsed/>
    <w:qFormat/>
    <w:locked/>
    <w:rsid w:val="00F90BFD"/>
    <w:pPr>
      <w:keepNext/>
      <w:keepLines/>
      <w:outlineLvl w:val="2"/>
    </w:pPr>
    <w:rPr>
      <w:rFonts w:eastAsiaTheme="majorEastAsia" w:cstheme="majorBidi"/>
      <w:b/>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1665D1"/>
    <w:rPr>
      <w:rFonts w:ascii="Arial" w:eastAsia="Times New Roman" w:hAnsi="Arial"/>
      <w:b/>
      <w:bCs/>
      <w:kern w:val="32"/>
      <w:sz w:val="24"/>
      <w:szCs w:val="32"/>
      <w:lang w:val="es-ES" w:eastAsia="es-ES"/>
    </w:rPr>
  </w:style>
  <w:style w:type="paragraph" w:styleId="Encabezado">
    <w:name w:val="header"/>
    <w:basedOn w:val="Normal"/>
    <w:link w:val="EncabezadoCar"/>
    <w:uiPriority w:val="99"/>
    <w:rsid w:val="00F34757"/>
    <w:pPr>
      <w:tabs>
        <w:tab w:val="center" w:pos="4252"/>
        <w:tab w:val="right" w:pos="8504"/>
      </w:tabs>
      <w:spacing w:line="240" w:lineRule="auto"/>
    </w:pPr>
    <w:rPr>
      <w:szCs w:val="20"/>
      <w:lang w:eastAsia="es-ES"/>
    </w:rPr>
  </w:style>
  <w:style w:type="character" w:customStyle="1" w:styleId="EncabezadoCar">
    <w:name w:val="Encabezado Car"/>
    <w:basedOn w:val="Fuentedeprrafopredeter"/>
    <w:link w:val="Encabezado"/>
    <w:uiPriority w:val="99"/>
    <w:locked/>
    <w:rsid w:val="00F34757"/>
    <w:rPr>
      <w:rFonts w:cs="Times New Roman"/>
      <w:sz w:val="20"/>
      <w:lang w:val="es-CO"/>
    </w:rPr>
  </w:style>
  <w:style w:type="paragraph" w:styleId="Piedepgina">
    <w:name w:val="footer"/>
    <w:basedOn w:val="Normal"/>
    <w:link w:val="PiedepginaCar"/>
    <w:uiPriority w:val="99"/>
    <w:rsid w:val="00F34757"/>
    <w:pPr>
      <w:tabs>
        <w:tab w:val="center" w:pos="4252"/>
        <w:tab w:val="right" w:pos="8504"/>
      </w:tabs>
      <w:spacing w:line="240" w:lineRule="auto"/>
    </w:pPr>
    <w:rPr>
      <w:szCs w:val="20"/>
      <w:lang w:eastAsia="es-ES"/>
    </w:rPr>
  </w:style>
  <w:style w:type="character" w:customStyle="1" w:styleId="PiedepginaCar">
    <w:name w:val="Pie de página Car"/>
    <w:basedOn w:val="Fuentedeprrafopredeter"/>
    <w:link w:val="Piedepgina"/>
    <w:uiPriority w:val="99"/>
    <w:locked/>
    <w:rsid w:val="00F34757"/>
    <w:rPr>
      <w:rFonts w:cs="Times New Roman"/>
      <w:sz w:val="20"/>
      <w:lang w:val="es-CO"/>
    </w:rPr>
  </w:style>
  <w:style w:type="paragraph" w:styleId="Textodeglobo">
    <w:name w:val="Balloon Text"/>
    <w:basedOn w:val="Normal"/>
    <w:link w:val="TextodegloboCar"/>
    <w:uiPriority w:val="99"/>
    <w:semiHidden/>
    <w:rsid w:val="00F34757"/>
    <w:pPr>
      <w:spacing w:line="240" w:lineRule="auto"/>
    </w:pPr>
    <w:rPr>
      <w:rFonts w:ascii="Tahoma" w:hAnsi="Tahoma"/>
      <w:sz w:val="16"/>
      <w:szCs w:val="16"/>
      <w:lang w:eastAsia="es-ES"/>
    </w:rPr>
  </w:style>
  <w:style w:type="character" w:customStyle="1" w:styleId="TextodegloboCar">
    <w:name w:val="Texto de globo Car"/>
    <w:basedOn w:val="Fuentedeprrafopredeter"/>
    <w:link w:val="Textodeglobo"/>
    <w:uiPriority w:val="99"/>
    <w:semiHidden/>
    <w:locked/>
    <w:rsid w:val="00F34757"/>
    <w:rPr>
      <w:rFonts w:ascii="Tahoma" w:hAnsi="Tahoma" w:cs="Times New Roman"/>
      <w:sz w:val="16"/>
      <w:lang w:val="es-CO"/>
    </w:rPr>
  </w:style>
  <w:style w:type="table" w:styleId="Tablaconcuadrcula">
    <w:name w:val="Table Grid"/>
    <w:basedOn w:val="Tablanormal"/>
    <w:uiPriority w:val="39"/>
    <w:rsid w:val="0062751D"/>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basedOn w:val="Fuentedeprrafopredeter"/>
    <w:uiPriority w:val="99"/>
    <w:rsid w:val="00B15F8C"/>
    <w:rPr>
      <w:rFonts w:cs="Times New Roman"/>
      <w:color w:val="0000FF"/>
      <w:u w:val="single"/>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E66FC2"/>
    <w:pPr>
      <w:spacing w:line="240" w:lineRule="auto"/>
      <w:ind w:left="720"/>
      <w:contextualSpacing/>
      <w:jc w:val="left"/>
    </w:pPr>
    <w:rPr>
      <w:rFonts w:ascii="Times New Roman" w:eastAsia="Times New Roman" w:hAnsi="Times New Roman"/>
      <w:sz w:val="24"/>
      <w:szCs w:val="24"/>
      <w:lang w:eastAsia="es-ES"/>
    </w:rPr>
  </w:style>
  <w:style w:type="paragraph" w:styleId="Sinespaciado">
    <w:name w:val="No Spacing"/>
    <w:link w:val="SinespaciadoCar"/>
    <w:uiPriority w:val="99"/>
    <w:qFormat/>
    <w:rsid w:val="00E66FC2"/>
    <w:pPr>
      <w:jc w:val="both"/>
    </w:pPr>
  </w:style>
  <w:style w:type="paragraph" w:styleId="Descripcin">
    <w:name w:val="caption"/>
    <w:basedOn w:val="Normal"/>
    <w:next w:val="Normal"/>
    <w:uiPriority w:val="99"/>
    <w:qFormat/>
    <w:rsid w:val="002B57E3"/>
    <w:pPr>
      <w:spacing w:line="240" w:lineRule="auto"/>
      <w:jc w:val="left"/>
    </w:pPr>
    <w:rPr>
      <w:rFonts w:ascii="Times New Roman" w:eastAsia="Times New Roman" w:hAnsi="Times New Roman"/>
      <w:b/>
      <w:bCs/>
      <w:szCs w:val="20"/>
      <w:lang w:eastAsia="es-CO"/>
    </w:rPr>
  </w:style>
  <w:style w:type="paragraph" w:customStyle="1" w:styleId="sinespaciado0">
    <w:name w:val="sinespaciado"/>
    <w:basedOn w:val="Normal"/>
    <w:uiPriority w:val="99"/>
    <w:rsid w:val="002B57E3"/>
    <w:pPr>
      <w:spacing w:line="240" w:lineRule="auto"/>
      <w:jc w:val="left"/>
    </w:pPr>
    <w:rPr>
      <w:lang w:val="es-ES" w:eastAsia="es-ES"/>
    </w:rPr>
  </w:style>
  <w:style w:type="paragraph" w:customStyle="1" w:styleId="MARITZA3">
    <w:name w:val="MARITZA3"/>
    <w:link w:val="MARITZA3Car"/>
    <w:uiPriority w:val="99"/>
    <w:rsid w:val="00DF065F"/>
    <w:pPr>
      <w:widowControl w:val="0"/>
      <w:tabs>
        <w:tab w:val="left" w:pos="-720"/>
        <w:tab w:val="left" w:pos="0"/>
      </w:tabs>
      <w:jc w:val="both"/>
    </w:pPr>
    <w:rPr>
      <w:rFonts w:ascii="Arial" w:eastAsia="Times New Roman" w:hAnsi="Arial"/>
      <w:sz w:val="24"/>
      <w:szCs w:val="20"/>
      <w:lang w:eastAsia="es-ES"/>
    </w:rPr>
  </w:style>
  <w:style w:type="character" w:customStyle="1" w:styleId="MARITZA3Car">
    <w:name w:val="MARITZA3 Car"/>
    <w:basedOn w:val="Fuentedeprrafopredeter"/>
    <w:link w:val="MARITZA3"/>
    <w:uiPriority w:val="99"/>
    <w:locked/>
    <w:rsid w:val="00DF065F"/>
    <w:rPr>
      <w:rFonts w:ascii="Arial" w:hAnsi="Arial" w:cs="Times New Roman"/>
      <w:sz w:val="24"/>
      <w:lang w:val="en-US" w:eastAsia="es-ES" w:bidi="ar-SA"/>
    </w:rPr>
  </w:style>
  <w:style w:type="paragraph" w:styleId="Textoindependiente">
    <w:name w:val="Body Text"/>
    <w:basedOn w:val="Normal"/>
    <w:link w:val="TextoindependienteCar"/>
    <w:uiPriority w:val="99"/>
    <w:rsid w:val="00DF065F"/>
    <w:pPr>
      <w:spacing w:after="120" w:line="240" w:lineRule="auto"/>
      <w:jc w:val="left"/>
    </w:pPr>
    <w:rPr>
      <w:rFonts w:ascii="Times New Roman" w:eastAsia="Times New Roman" w:hAnsi="Times New Roman"/>
      <w:sz w:val="24"/>
      <w:szCs w:val="24"/>
      <w:lang w:eastAsia="es-CO"/>
    </w:rPr>
  </w:style>
  <w:style w:type="character" w:customStyle="1" w:styleId="TextoindependienteCar">
    <w:name w:val="Texto independiente Car"/>
    <w:basedOn w:val="Fuentedeprrafopredeter"/>
    <w:link w:val="Textoindependiente"/>
    <w:uiPriority w:val="99"/>
    <w:locked/>
    <w:rsid w:val="00DF065F"/>
    <w:rPr>
      <w:rFonts w:ascii="Times New Roman" w:hAnsi="Times New Roman" w:cs="Times New Roman"/>
      <w:sz w:val="24"/>
      <w:szCs w:val="24"/>
    </w:rPr>
  </w:style>
  <w:style w:type="character" w:customStyle="1" w:styleId="SinespaciadoCar">
    <w:name w:val="Sin espaciado Car"/>
    <w:link w:val="Sinespaciado"/>
    <w:uiPriority w:val="99"/>
    <w:locked/>
    <w:rsid w:val="002D5E57"/>
    <w:rPr>
      <w:sz w:val="22"/>
      <w:lang w:eastAsia="en-US"/>
    </w:rPr>
  </w:style>
  <w:style w:type="paragraph" w:styleId="Textoindependiente2">
    <w:name w:val="Body Text 2"/>
    <w:basedOn w:val="Normal"/>
    <w:link w:val="Textoindependiente2Car"/>
    <w:uiPriority w:val="99"/>
    <w:rsid w:val="002C6CD8"/>
    <w:pPr>
      <w:tabs>
        <w:tab w:val="left" w:pos="-674"/>
        <w:tab w:val="left" w:pos="46"/>
        <w:tab w:val="left" w:pos="766"/>
        <w:tab w:val="left" w:pos="1486"/>
        <w:tab w:val="left" w:pos="2206"/>
        <w:tab w:val="left" w:pos="2926"/>
        <w:tab w:val="left" w:pos="3646"/>
        <w:tab w:val="left" w:pos="4366"/>
        <w:tab w:val="left" w:pos="5086"/>
        <w:tab w:val="left" w:pos="5806"/>
        <w:tab w:val="left" w:pos="6526"/>
        <w:tab w:val="left" w:pos="7246"/>
        <w:tab w:val="left" w:pos="7966"/>
        <w:tab w:val="left" w:pos="8686"/>
      </w:tabs>
      <w:suppressAutoHyphens/>
      <w:spacing w:line="240" w:lineRule="auto"/>
    </w:pPr>
    <w:rPr>
      <w:spacing w:val="-3"/>
      <w:sz w:val="24"/>
      <w:szCs w:val="20"/>
      <w:lang w:val="es-ES_tradnl" w:eastAsia="es-ES"/>
    </w:rPr>
  </w:style>
  <w:style w:type="character" w:customStyle="1" w:styleId="Textoindependiente2Car">
    <w:name w:val="Texto independiente 2 Car"/>
    <w:basedOn w:val="Fuentedeprrafopredeter"/>
    <w:link w:val="Textoindependiente2"/>
    <w:uiPriority w:val="99"/>
    <w:semiHidden/>
    <w:locked/>
    <w:rsid w:val="0069573B"/>
    <w:rPr>
      <w:rFonts w:cs="Times New Roman"/>
      <w:sz w:val="20"/>
      <w:lang w:val="es-CO"/>
    </w:rPr>
  </w:style>
  <w:style w:type="character" w:customStyle="1" w:styleId="Fuentedeencabezadopredeter">
    <w:name w:val="Fuente de encabezado predeter."/>
    <w:uiPriority w:val="99"/>
    <w:rsid w:val="002C6CD8"/>
    <w:rPr>
      <w:sz w:val="24"/>
    </w:rPr>
  </w:style>
  <w:style w:type="paragraph" w:customStyle="1" w:styleId="Default">
    <w:name w:val="Default"/>
    <w:rsid w:val="00F616EC"/>
    <w:pPr>
      <w:autoSpaceDE w:val="0"/>
      <w:autoSpaceDN w:val="0"/>
      <w:adjustRightInd w:val="0"/>
    </w:pPr>
    <w:rPr>
      <w:rFonts w:ascii="Bodoni MT" w:hAnsi="Bodoni MT" w:cs="Bodoni MT"/>
      <w:color w:val="000000"/>
      <w:sz w:val="24"/>
      <w:szCs w:val="24"/>
      <w:lang w:val="es-ES"/>
    </w:rPr>
  </w:style>
  <w:style w:type="character" w:styleId="Refdecomentario">
    <w:name w:val="annotation reference"/>
    <w:basedOn w:val="Fuentedeprrafopredeter"/>
    <w:uiPriority w:val="99"/>
    <w:semiHidden/>
    <w:unhideWhenUsed/>
    <w:rsid w:val="00A346D6"/>
    <w:rPr>
      <w:sz w:val="16"/>
      <w:szCs w:val="16"/>
    </w:rPr>
  </w:style>
  <w:style w:type="paragraph" w:styleId="Textocomentario">
    <w:name w:val="annotation text"/>
    <w:basedOn w:val="Normal"/>
    <w:link w:val="TextocomentarioCar"/>
    <w:uiPriority w:val="99"/>
    <w:semiHidden/>
    <w:unhideWhenUsed/>
    <w:rsid w:val="00A346D6"/>
    <w:pPr>
      <w:spacing w:line="240" w:lineRule="auto"/>
    </w:pPr>
    <w:rPr>
      <w:szCs w:val="20"/>
    </w:rPr>
  </w:style>
  <w:style w:type="character" w:customStyle="1" w:styleId="TextocomentarioCar">
    <w:name w:val="Texto comentario Car"/>
    <w:basedOn w:val="Fuentedeprrafopredeter"/>
    <w:link w:val="Textocomentario"/>
    <w:uiPriority w:val="99"/>
    <w:semiHidden/>
    <w:rsid w:val="00A346D6"/>
    <w:rPr>
      <w:sz w:val="20"/>
      <w:szCs w:val="20"/>
      <w:lang w:val="es-CO"/>
    </w:rPr>
  </w:style>
  <w:style w:type="paragraph" w:styleId="Asuntodelcomentario">
    <w:name w:val="annotation subject"/>
    <w:basedOn w:val="Textocomentario"/>
    <w:next w:val="Textocomentario"/>
    <w:link w:val="AsuntodelcomentarioCar"/>
    <w:uiPriority w:val="99"/>
    <w:semiHidden/>
    <w:unhideWhenUsed/>
    <w:rsid w:val="00A346D6"/>
    <w:rPr>
      <w:b/>
      <w:bCs/>
    </w:rPr>
  </w:style>
  <w:style w:type="character" w:customStyle="1" w:styleId="AsuntodelcomentarioCar">
    <w:name w:val="Asunto del comentario Car"/>
    <w:basedOn w:val="TextocomentarioCar"/>
    <w:link w:val="Asuntodelcomentario"/>
    <w:uiPriority w:val="99"/>
    <w:semiHidden/>
    <w:rsid w:val="00A346D6"/>
    <w:rPr>
      <w:b/>
      <w:bCs/>
      <w:sz w:val="20"/>
      <w:szCs w:val="20"/>
      <w:lang w:val="es-CO"/>
    </w:rPr>
  </w:style>
  <w:style w:type="character" w:customStyle="1" w:styleId="Ttulo2Car">
    <w:name w:val="Título 2 Car"/>
    <w:basedOn w:val="Fuentedeprrafopredeter"/>
    <w:link w:val="Ttulo2"/>
    <w:uiPriority w:val="9"/>
    <w:semiHidden/>
    <w:rsid w:val="0018102E"/>
    <w:rPr>
      <w:rFonts w:ascii="Arial" w:eastAsia="Times New Roman" w:hAnsi="Arial"/>
      <w:b/>
      <w:bCs/>
      <w:iCs/>
      <w:szCs w:val="28"/>
      <w:lang w:val="es-ES" w:eastAsia="es-ES"/>
    </w:rPr>
  </w:style>
  <w:style w:type="character" w:styleId="Textodelmarcadordeposicin">
    <w:name w:val="Placeholder Text"/>
    <w:basedOn w:val="Fuentedeprrafopredeter"/>
    <w:uiPriority w:val="99"/>
    <w:semiHidden/>
    <w:rsid w:val="00F0707D"/>
    <w:rPr>
      <w:color w:val="808080"/>
    </w:rPr>
  </w:style>
  <w:style w:type="character" w:customStyle="1" w:styleId="specialfont1">
    <w:name w:val="specialfont1"/>
    <w:basedOn w:val="Fuentedeprrafopredeter"/>
    <w:rsid w:val="007A71BB"/>
    <w:rPr>
      <w:b/>
      <w:bCs/>
      <w:sz w:val="18"/>
      <w:szCs w:val="18"/>
    </w:rPr>
  </w:style>
  <w:style w:type="character" w:styleId="nfasis">
    <w:name w:val="Emphasis"/>
    <w:basedOn w:val="Fuentedeprrafopredeter"/>
    <w:qFormat/>
    <w:locked/>
    <w:rsid w:val="00AA5E6E"/>
    <w:rPr>
      <w:i/>
      <w:iCs/>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25509A"/>
    <w:rPr>
      <w:rFonts w:ascii="Times New Roman" w:eastAsia="Times New Roman" w:hAnsi="Times New Roman"/>
      <w:sz w:val="24"/>
      <w:szCs w:val="24"/>
      <w:lang w:val="es-CO" w:eastAsia="es-ES"/>
    </w:rPr>
  </w:style>
  <w:style w:type="character" w:customStyle="1" w:styleId="Ttulo3Car">
    <w:name w:val="Título 3 Car"/>
    <w:basedOn w:val="Fuentedeprrafopredeter"/>
    <w:link w:val="Ttulo3"/>
    <w:semiHidden/>
    <w:rsid w:val="00F90BFD"/>
    <w:rPr>
      <w:rFonts w:ascii="Arial" w:eastAsiaTheme="majorEastAsia" w:hAnsi="Arial" w:cstheme="majorBidi"/>
      <w:b/>
      <w:szCs w:val="24"/>
      <w:lang w:val="es-CO"/>
    </w:rPr>
  </w:style>
  <w:style w:type="table" w:styleId="Tabladecuadrcula4">
    <w:name w:val="Grid Table 4"/>
    <w:basedOn w:val="Tablanormal"/>
    <w:uiPriority w:val="49"/>
    <w:rsid w:val="006E2CD8"/>
    <w:pPr>
      <w:jc w:val="both"/>
    </w:pPr>
    <w:rPr>
      <w:rFonts w:cs="Calibri"/>
      <w:lang w:val="es-CO" w:eastAsia="es-C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a">
    <w:name w:val="List"/>
    <w:basedOn w:val="Normal"/>
    <w:uiPriority w:val="99"/>
    <w:unhideWhenUsed/>
    <w:rsid w:val="006D0662"/>
    <w:pPr>
      <w:ind w:left="283" w:hanging="283"/>
      <w:contextualSpacing/>
    </w:pPr>
  </w:style>
  <w:style w:type="paragraph" w:styleId="Lista2">
    <w:name w:val="List 2"/>
    <w:basedOn w:val="Normal"/>
    <w:uiPriority w:val="99"/>
    <w:unhideWhenUsed/>
    <w:rsid w:val="006D0662"/>
    <w:pPr>
      <w:ind w:left="566" w:hanging="283"/>
      <w:contextualSpacing/>
    </w:pPr>
  </w:style>
  <w:style w:type="paragraph" w:styleId="Saludo">
    <w:name w:val="Salutation"/>
    <w:basedOn w:val="Normal"/>
    <w:next w:val="Normal"/>
    <w:link w:val="SaludoCar"/>
    <w:uiPriority w:val="99"/>
    <w:unhideWhenUsed/>
    <w:rsid w:val="006D0662"/>
  </w:style>
  <w:style w:type="character" w:customStyle="1" w:styleId="SaludoCar">
    <w:name w:val="Saludo Car"/>
    <w:basedOn w:val="Fuentedeprrafopredeter"/>
    <w:link w:val="Saludo"/>
    <w:uiPriority w:val="99"/>
    <w:rsid w:val="006D0662"/>
    <w:rPr>
      <w:rFonts w:ascii="Arial" w:hAnsi="Arial"/>
      <w:lang w:val="es-CO"/>
    </w:rPr>
  </w:style>
  <w:style w:type="paragraph" w:styleId="Listaconvietas">
    <w:name w:val="List Bullet"/>
    <w:basedOn w:val="Normal"/>
    <w:uiPriority w:val="99"/>
    <w:unhideWhenUsed/>
    <w:rsid w:val="006D0662"/>
    <w:pPr>
      <w:numPr>
        <w:numId w:val="15"/>
      </w:numPr>
      <w:contextualSpacing/>
    </w:pPr>
  </w:style>
  <w:style w:type="paragraph" w:styleId="Sangradetextonormal">
    <w:name w:val="Body Text Indent"/>
    <w:basedOn w:val="Normal"/>
    <w:link w:val="SangradetextonormalCar"/>
    <w:uiPriority w:val="99"/>
    <w:semiHidden/>
    <w:unhideWhenUsed/>
    <w:rsid w:val="006D0662"/>
    <w:pPr>
      <w:spacing w:after="120"/>
      <w:ind w:left="283"/>
    </w:pPr>
  </w:style>
  <w:style w:type="character" w:customStyle="1" w:styleId="SangradetextonormalCar">
    <w:name w:val="Sangría de texto normal Car"/>
    <w:basedOn w:val="Fuentedeprrafopredeter"/>
    <w:link w:val="Sangradetextonormal"/>
    <w:uiPriority w:val="99"/>
    <w:semiHidden/>
    <w:rsid w:val="006D0662"/>
    <w:rPr>
      <w:rFonts w:ascii="Arial" w:hAnsi="Arial"/>
      <w:lang w:val="es-CO"/>
    </w:rPr>
  </w:style>
  <w:style w:type="paragraph" w:styleId="Textoindependienteprimerasangra2">
    <w:name w:val="Body Text First Indent 2"/>
    <w:basedOn w:val="Sangradetextonormal"/>
    <w:link w:val="Textoindependienteprimerasangra2Car"/>
    <w:uiPriority w:val="99"/>
    <w:unhideWhenUsed/>
    <w:rsid w:val="006D0662"/>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6D0662"/>
    <w:rPr>
      <w:rFonts w:ascii="Arial" w:hAnsi="Arial"/>
      <w:lang w:val="es-CO"/>
    </w:rPr>
  </w:style>
  <w:style w:type="character" w:styleId="Mencinsinresolver">
    <w:name w:val="Unresolved Mention"/>
    <w:basedOn w:val="Fuentedeprrafopredeter"/>
    <w:uiPriority w:val="99"/>
    <w:semiHidden/>
    <w:unhideWhenUsed/>
    <w:rsid w:val="00123D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55572">
      <w:bodyDiv w:val="1"/>
      <w:marLeft w:val="0"/>
      <w:marRight w:val="0"/>
      <w:marTop w:val="0"/>
      <w:marBottom w:val="0"/>
      <w:divBdr>
        <w:top w:val="none" w:sz="0" w:space="0" w:color="auto"/>
        <w:left w:val="none" w:sz="0" w:space="0" w:color="auto"/>
        <w:bottom w:val="none" w:sz="0" w:space="0" w:color="auto"/>
        <w:right w:val="none" w:sz="0" w:space="0" w:color="auto"/>
      </w:divBdr>
    </w:div>
    <w:div w:id="439646285">
      <w:bodyDiv w:val="1"/>
      <w:marLeft w:val="0"/>
      <w:marRight w:val="0"/>
      <w:marTop w:val="0"/>
      <w:marBottom w:val="0"/>
      <w:divBdr>
        <w:top w:val="none" w:sz="0" w:space="0" w:color="auto"/>
        <w:left w:val="none" w:sz="0" w:space="0" w:color="auto"/>
        <w:bottom w:val="none" w:sz="0" w:space="0" w:color="auto"/>
        <w:right w:val="none" w:sz="0" w:space="0" w:color="auto"/>
      </w:divBdr>
    </w:div>
    <w:div w:id="588195404">
      <w:bodyDiv w:val="1"/>
      <w:marLeft w:val="0"/>
      <w:marRight w:val="0"/>
      <w:marTop w:val="0"/>
      <w:marBottom w:val="0"/>
      <w:divBdr>
        <w:top w:val="none" w:sz="0" w:space="0" w:color="auto"/>
        <w:left w:val="none" w:sz="0" w:space="0" w:color="auto"/>
        <w:bottom w:val="none" w:sz="0" w:space="0" w:color="auto"/>
        <w:right w:val="none" w:sz="0" w:space="0" w:color="auto"/>
      </w:divBdr>
    </w:div>
    <w:div w:id="875460943">
      <w:bodyDiv w:val="1"/>
      <w:marLeft w:val="0"/>
      <w:marRight w:val="0"/>
      <w:marTop w:val="0"/>
      <w:marBottom w:val="0"/>
      <w:divBdr>
        <w:top w:val="none" w:sz="0" w:space="0" w:color="auto"/>
        <w:left w:val="none" w:sz="0" w:space="0" w:color="auto"/>
        <w:bottom w:val="none" w:sz="0" w:space="0" w:color="auto"/>
        <w:right w:val="none" w:sz="0" w:space="0" w:color="auto"/>
      </w:divBdr>
    </w:div>
    <w:div w:id="1373772685">
      <w:marLeft w:val="0"/>
      <w:marRight w:val="0"/>
      <w:marTop w:val="0"/>
      <w:marBottom w:val="0"/>
      <w:divBdr>
        <w:top w:val="none" w:sz="0" w:space="0" w:color="auto"/>
        <w:left w:val="none" w:sz="0" w:space="0" w:color="auto"/>
        <w:bottom w:val="none" w:sz="0" w:space="0" w:color="auto"/>
        <w:right w:val="none" w:sz="0" w:space="0" w:color="auto"/>
      </w:divBdr>
    </w:div>
    <w:div w:id="1475676410">
      <w:bodyDiv w:val="1"/>
      <w:marLeft w:val="0"/>
      <w:marRight w:val="0"/>
      <w:marTop w:val="0"/>
      <w:marBottom w:val="0"/>
      <w:divBdr>
        <w:top w:val="none" w:sz="0" w:space="0" w:color="auto"/>
        <w:left w:val="none" w:sz="0" w:space="0" w:color="auto"/>
        <w:bottom w:val="none" w:sz="0" w:space="0" w:color="auto"/>
        <w:right w:val="none" w:sz="0" w:space="0" w:color="auto"/>
      </w:divBdr>
    </w:div>
    <w:div w:id="1557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anda.com/lang/es/currency/converte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macionvirtual.colombiacompra.gov.co/pluginfile.php/9287/mod_folder/content/0/PDF/M%C3%B3dulo%204/Unidad%201/cce-sec-gi-25guiasecopii_eemcseleccionabreviadasubastainversa_subastaelectronica20-04-2022_0.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tratos@migracioncolombia.gov.c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operaciones.colombiacompra.gov.co/secop-ii/indisponibilidad-en-el-secop-" TargetMode="External"/><Relationship Id="rId4" Type="http://schemas.openxmlformats.org/officeDocument/2006/relationships/settings" Target="settings.xml"/><Relationship Id="rId9" Type="http://schemas.openxmlformats.org/officeDocument/2006/relationships/hyperlink" Target="http://www.banrep.gov.co/es/mercado-laboral/salario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A17BA-04E8-4598-9A13-8F482124F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27</Pages>
  <Words>9693</Words>
  <Characters>51785</Characters>
  <Application>Microsoft Office Word</Application>
  <DocSecurity>0</DocSecurity>
  <Lines>431</Lines>
  <Paragraphs>122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UNIDAD ADMINISTRATIVA DE MIGRACIÓN COLOMBIA</vt:lpstr>
    </vt:vector>
  </TitlesOfParts>
  <Company>dasdas</Company>
  <LinksUpToDate>false</LinksUpToDate>
  <CharactersWithSpaces>61356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Walter Alberto Teneche Garcia</dc:creator>
  <cp:lastModifiedBy>Sandra Marcela Cajamarca Guzman</cp:lastModifiedBy>
  <cp:revision>49</cp:revision>
  <cp:lastPrinted>2012-12-11T15:41:00Z</cp:lastPrinted>
  <dcterms:created xsi:type="dcterms:W3CDTF">2021-12-02T20:54:00Z</dcterms:created>
  <dcterms:modified xsi:type="dcterms:W3CDTF">2026-04-21T12:35:00Z</dcterms:modified>
</cp:coreProperties>
</file>